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阜新市人民政府办公室关于印发《阜新市</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被征地农民社会保障暂行办法》的通知</w:t>
      </w:r>
    </w:p>
    <w:p>
      <w:pPr>
        <w:jc w:val="center"/>
        <w:rPr>
          <w:rFonts w:hint="eastAsia" w:eastAsia="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阜政办发[2006]56号</w:t>
      </w:r>
    </w:p>
    <w:p>
      <w:pPr>
        <w:jc w:val="center"/>
        <w:rPr>
          <w:rFonts w:hint="eastAsia" w:eastAsia="仿宋_GB2312"/>
          <w:sz w:val="32"/>
          <w:szCs w:val="32"/>
          <w:lang w:val="en-US" w:eastAsia="zh-CN"/>
        </w:rPr>
      </w:pPr>
    </w:p>
    <w:p>
      <w:pPr>
        <w:rPr>
          <w:rFonts w:hint="eastAsia" w:eastAsia="仿宋_GB2312"/>
          <w:sz w:val="32"/>
          <w:szCs w:val="32"/>
          <w:lang w:val="en-US" w:eastAsia="zh-CN"/>
        </w:rPr>
      </w:pPr>
      <w:r>
        <w:rPr>
          <w:rFonts w:hint="eastAsia" w:eastAsia="仿宋_GB2312"/>
          <w:sz w:val="32"/>
          <w:szCs w:val="32"/>
          <w:lang w:val="en-US" w:eastAsia="zh-CN"/>
        </w:rPr>
        <w:t>各县、区人民政府，市政府各部门，中省直各单位：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经市政府同意，现将《阜新市被征地农民社会保障暂行办法印发给你们，请认真贯彻执行》。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eastAsia="仿宋_GB2312"/>
          <w:sz w:val="32"/>
          <w:szCs w:val="32"/>
          <w:lang w:val="en-US" w:eastAsia="zh-CN"/>
        </w:rPr>
      </w:pPr>
      <w:r>
        <w:rPr>
          <w:rFonts w:hint="eastAsia" w:eastAsia="仿宋_GB2312"/>
          <w:sz w:val="32"/>
          <w:szCs w:val="32"/>
          <w:lang w:val="en-US" w:eastAsia="zh-CN"/>
        </w:rPr>
        <w:t>阜新市人民政府办公室</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eastAsia="仿宋_GB2312"/>
          <w:sz w:val="32"/>
          <w:szCs w:val="32"/>
          <w:lang w:val="en-US" w:eastAsia="zh-CN"/>
        </w:rPr>
      </w:pPr>
      <w:r>
        <w:rPr>
          <w:rFonts w:hint="eastAsia" w:eastAsia="仿宋_GB2312"/>
          <w:sz w:val="32"/>
          <w:szCs w:val="32"/>
          <w:lang w:val="en-US" w:eastAsia="zh-CN"/>
        </w:rPr>
        <w:t>二〇〇六年四月三日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阜新市被征地农民社会保障暂行办法</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eastAsia="仿宋_GB2312"/>
          <w:sz w:val="32"/>
          <w:szCs w:val="32"/>
          <w:lang w:val="en-US" w:eastAsia="zh-CN"/>
        </w:rPr>
      </w:pPr>
      <w:r>
        <w:rPr>
          <w:rFonts w:hint="eastAsia" w:eastAsia="仿宋_GB2312"/>
          <w:sz w:val="32"/>
          <w:szCs w:val="32"/>
          <w:lang w:val="en-US" w:eastAsia="zh-CN"/>
        </w:rPr>
        <w:t>为进一步加强社会保障体系建设，完善城乡统筹社会保障制度，更好地维护被征地农民的合法权益，促进社会和谐稳定，根据《辽宁省被征地农民社会保障暂行办法》，结合我市实际，制定本办法。</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本办法所称被征地农民社会保障制度，是指政府将农村集体所有土地征为国有后，妥善解决被征地农民养老、就业和医疗等问题，所建立的社会保障制度。</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本办法适用于我市城市规划规划区（海州区、细河区、太平区、新邱区、清河门区、辽宁阜新经济开发区、辽宁阜新国家农业科技园区、阜新蒙古族自治县部分乡镇）内，持有第二轮土地承包权证家庭中年龄满16周岁以上的在籍农业人口。</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经国务院、省政府批准，土地全部或大部分被征收或征用的建制村的农民;</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经县（区）政府批准“村改居”的居民（原建制村的农民）;</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由于土地被征收或征用而“农转非”的农民。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不符合上述条件的被征地农民，可采取其他方式进行补偿和安置。</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eastAsia="仿宋_GB2312"/>
          <w:sz w:val="32"/>
          <w:szCs w:val="32"/>
          <w:lang w:val="en-US" w:eastAsia="zh-CN"/>
        </w:rPr>
      </w:pPr>
      <w:r>
        <w:rPr>
          <w:rFonts w:hint="eastAsia" w:eastAsia="仿宋_GB2312"/>
          <w:sz w:val="32"/>
          <w:szCs w:val="32"/>
          <w:lang w:val="en-US" w:eastAsia="zh-CN"/>
        </w:rPr>
        <w:t>建立被征地农民社会保障制度的原则：坚持生存和发展相结合，公平和效率相统一;保障水平与经济发展水平相适应;多渠道筹集资金;政府能承受，被征地农民能接受;公平、公开;因地制宜和城乡统筹兼顾;城市规划区内、外区别对待;制度设计既要有别于城镇职工社会保险，又要与城镇职工社会保险相衔接。</w:t>
      </w:r>
    </w:p>
    <w:p>
      <w:pPr>
        <w:keepNext w:val="0"/>
        <w:keepLines w:val="0"/>
        <w:pageBreakBefore w:val="0"/>
        <w:widowControl w:val="0"/>
        <w:numPr>
          <w:numId w:val="0"/>
        </w:numPr>
        <w:kinsoku/>
        <w:wordWrap/>
        <w:overflowPunct/>
        <w:topLinePunct w:val="0"/>
        <w:autoSpaceDE/>
        <w:autoSpaceDN/>
        <w:bidi w:val="0"/>
        <w:adjustRightInd/>
        <w:snapToGrid/>
        <w:ind w:left="630" w:leftChars="0"/>
        <w:jc w:val="both"/>
        <w:textAlignment w:val="auto"/>
        <w:rPr>
          <w:rFonts w:hint="eastAsia" w:eastAsia="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ind w:left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养老</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eastAsia="仿宋_GB2312"/>
          <w:sz w:val="32"/>
          <w:szCs w:val="32"/>
          <w:lang w:val="en-US" w:eastAsia="zh-CN"/>
        </w:rPr>
      </w:pPr>
      <w:r>
        <w:rPr>
          <w:rFonts w:hint="eastAsia" w:eastAsia="仿宋_GB2312"/>
          <w:sz w:val="32"/>
          <w:szCs w:val="32"/>
          <w:lang w:val="en-US" w:eastAsia="zh-CN"/>
        </w:rPr>
        <w:t>符合条件的被征地农民，男年满45周岁、女年满40周岁以上的，应全部纳入养老保障范围，其他人员是否纳入养老保障范围，需征得农民本人同意。</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被征地农民参加养老保障，由被征地农民所在村（居）委会提出名单，经本集体经济组织村民会议2/3以上成员或2/3以上村民代表同意，由所在乡（镇、管委会）、街道办事处审核后，报市、县（区）劳动保障部门核定。</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被征地农民的养老保障，实行资金由政府、集体和个人三方共担，以待遇标准确定缴费数额，个人专户与统筹账户、专项调剂相结合的制度。</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被征地农民养老保障个人专户资金，以被征地农民所需养老保障资金总额为基数，村集体和个人按照70%的比例，分别从土地补偿费和安置补助费中一次性划拨和抵扣。集体土地补偿收入，应优先用于缴纳被征地农民养老保障资金。集体和个人缴纳比例由村委会或村民代表会议决定。</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被征地农民养老保障统筹账户资金以被征地农民所需养老保障资金总额为基数，按照30%的比例，由政府从土地出让金净收益中提取。</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参保人员达到男年满60周岁、女年满55周岁的，从次月起，按月享受养老保障待遇;男年满60周岁、女年满55周岁以上的，从缴费的次月起，按月享受养老保障待遇。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养老保障待遇先从个人专户资金支支付;个人专户资金不足时，由统筹账户资金支付。</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eastAsia="仿宋_GB2312"/>
          <w:sz w:val="32"/>
          <w:szCs w:val="32"/>
          <w:lang w:val="en-US" w:eastAsia="zh-CN"/>
        </w:rPr>
      </w:pPr>
      <w:r>
        <w:rPr>
          <w:rFonts w:hint="eastAsia" w:eastAsia="仿宋_GB2312"/>
          <w:sz w:val="32"/>
          <w:szCs w:val="32"/>
          <w:lang w:val="en-US" w:eastAsia="zh-CN"/>
        </w:rPr>
        <w:t>参保人员享受的养老保障待遇，按所在城镇居民最低生活保障标准上浮10%，设立三个缴费基本档及7个浮动档，参保人员享受标准以基本档为准。选择基本档以上档次的超出部分所需资金由集体和个人协商一致后自行承担。参保人员的养老保障待遇要随所在城镇居民的最低生活保障标准和物价水平变化适当进行调整。</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参保人员死亡的，其个人专户资金余额，可一次性支付给死者生前指定的受益人或法定继承人。</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参保人员出国（境）定居的，终止养老保障关系，其个人专户资金余额，可一次性支付给本人。</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参保人员户籍从本地迁往外省（区、市）或省内其他市的，可根据本人意愿将养老保障关系留在原地，达到享受待遇条件后在原地领取养老保障金，也可根据本人意愿退保，其个人专户资金余额一次性返还给本人。市内迁出、迁入人员，其养老保障关系留在原地，达到享受待遇条件后在原地领取养老保障金。</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default" w:eastAsia="仿宋_GB2312"/>
          <w:sz w:val="32"/>
          <w:szCs w:val="32"/>
          <w:lang w:val="en-US" w:eastAsia="zh-CN"/>
        </w:rPr>
      </w:pPr>
      <w:r>
        <w:rPr>
          <w:rFonts w:hint="eastAsia" w:eastAsia="仿宋_GB2312"/>
          <w:sz w:val="32"/>
          <w:szCs w:val="32"/>
          <w:lang w:val="en-US" w:eastAsia="zh-CN"/>
        </w:rPr>
        <w:t>被征用土地前参加农村社会养老保险的被征地农民，根据本人意愿，可以继续保留农村社会养老保险关系，也可退保。被征用土地后（包括征地前）参加城镇职工基本养老保险的，被征地农民养老保障关系继续保留，对达到退休年龄、符合享受城镇职工基本养老保险待遇条件的，应退出被征地农民养老保障，并将个人专户资金的本息返还给本人;对达到退休年龄、不符合享受城镇职工基本养老保险待遇条件的，继续享受被征地农民养老保障待遇。</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就业</w:t>
      </w:r>
    </w:p>
    <w:p>
      <w:pPr>
        <w:keepNext w:val="0"/>
        <w:keepLines w:val="0"/>
        <w:pageBreakBefore w:val="0"/>
        <w:widowControl w:val="0"/>
        <w:numPr>
          <w:numId w:val="0"/>
        </w:numPr>
        <w:kinsoku/>
        <w:wordWrap/>
        <w:overflowPunct/>
        <w:topLinePunct w:val="0"/>
        <w:autoSpaceDE/>
        <w:autoSpaceDN/>
        <w:bidi w:val="0"/>
        <w:adjustRightInd/>
        <w:snapToGrid/>
        <w:ind w:leftChars="200"/>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eastAsia="仿宋_GB2312"/>
          <w:sz w:val="32"/>
          <w:szCs w:val="32"/>
          <w:lang w:val="en-US" w:eastAsia="zh-CN"/>
        </w:rPr>
        <w:t>对有就业愿望的被征地农民，纳入城镇就业服务体系，为其提供职业指导、职业介绍等就业服务，组织参加就业前培训，增强就业能力。被征地农民自主创业的，应提供创业培训、开业指导等服务。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第十七条</w:t>
      </w:r>
      <w:r>
        <w:rPr>
          <w:rFonts w:hint="eastAsia" w:eastAsia="仿宋_GB2312"/>
          <w:sz w:val="32"/>
          <w:szCs w:val="32"/>
          <w:lang w:val="en-US" w:eastAsia="zh-CN"/>
        </w:rPr>
        <w:t xml:space="preserve"> 被征地农民在城镇就业的，按照规定参加城镇职工各项社会保险，并享受相应的待遇;在劳动年龄段有就业愿望且尚未就业的，可享受失业人员促进就业的相关政策;未能就业并符合当地居民最低生活保障条件的，纳入当地最地最低生活保障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医疗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第十八条</w:t>
      </w:r>
      <w:r>
        <w:rPr>
          <w:rFonts w:hint="eastAsia" w:eastAsia="仿宋_GB2312"/>
          <w:sz w:val="32"/>
          <w:szCs w:val="32"/>
          <w:lang w:val="en-US" w:eastAsia="zh-CN"/>
        </w:rPr>
        <w:t xml:space="preserve"> 被征地农民仍保留农村户口的，按新型农村合作医疗有关规定享受有关医疗待遇;转为城镇户口且在城镇用人单位就业并明确了劳动关系的，与用人单位其他职工一同参加基本医疗保险;在城镇用人单位就业未明确劳动关系以及灵活就业的，按城镇灵活就业人员参加基本医疗保险的有关规定参保并享受有关待遇;转为城镇户口且享受城镇低保待遇的，按有关低保对象救助规定予以救助;不符合享受城镇低保待遇条件但因病造成家庭生活特别困难的，按有关应急（临时）救助政策规定予以救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left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调剂资金</w:t>
      </w:r>
    </w:p>
    <w:p>
      <w:pPr>
        <w:keepNext w:val="0"/>
        <w:keepLines w:val="0"/>
        <w:pageBreakBefore w:val="0"/>
        <w:widowControl w:val="0"/>
        <w:numPr>
          <w:numId w:val="0"/>
        </w:numPr>
        <w:kinsoku/>
        <w:wordWrap/>
        <w:overflowPunct/>
        <w:topLinePunct w:val="0"/>
        <w:autoSpaceDE/>
        <w:autoSpaceDN/>
        <w:bidi w:val="0"/>
        <w:adjustRightInd/>
        <w:snapToGrid/>
        <w:ind w:leftChars="200"/>
        <w:jc w:val="both"/>
        <w:textAlignment w:val="auto"/>
        <w:rPr>
          <w:rFonts w:hint="eastAsia" w:eastAsia="仿宋_GB2312"/>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政府按照不低于被征地农民所需养老保障资金总额10%的比例，从土地出让金净收益中提取调剂资金。可通过社会捐助、国有资产变现部分收入等资金，补充调剂资金。</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eastAsia="仿宋_GB2312"/>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资金的使用和管理</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第二十条</w:t>
      </w:r>
      <w:r>
        <w:rPr>
          <w:rFonts w:hint="eastAsia" w:eastAsia="仿宋_GB2312"/>
          <w:sz w:val="32"/>
          <w:szCs w:val="32"/>
          <w:lang w:val="en-US" w:eastAsia="zh-CN"/>
        </w:rPr>
        <w:t xml:space="preserve"> 被征地农民养老保障个人专户资金和统筹账户资金全部用于在支付被征地农民养老保障待遇。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eastAsia="仿宋_GB2312"/>
          <w:sz w:val="32"/>
          <w:szCs w:val="32"/>
          <w:lang w:val="en-US" w:eastAsia="zh-CN"/>
        </w:rPr>
        <w:t xml:space="preserve"> 调剂资金用于弥补调整养老保障待遇标准和超过预期寿命给支付的养老保障金造成资金缺口，以及支付被征地农民的就业培训费。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eastAsia="仿宋_GB2312"/>
          <w:sz w:val="32"/>
          <w:szCs w:val="32"/>
          <w:lang w:val="en-US" w:eastAsia="zh-CN"/>
        </w:rPr>
        <w:t xml:space="preserve"> 被征地农民养老保障统筹账户资金和调剂金，由市、县（区）两级财政部门，根据劳动和社会保障部门所属的农村社会养老保险经办机构核定的数额，一次性足额划入财政部门开设的被征地农民社会保障资金专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eastAsia="仿宋_GB2312"/>
          <w:sz w:val="32"/>
          <w:szCs w:val="32"/>
          <w:lang w:val="en-US" w:eastAsia="zh-CN"/>
        </w:rPr>
        <w:t>被征地农民社会保障资金，实行收支两条线，分账管理，专款专用，不得转借、挪用、截留和挤占。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eastAsia="仿宋_GB2312"/>
          <w:sz w:val="32"/>
          <w:szCs w:val="32"/>
          <w:lang w:val="en-US" w:eastAsia="zh-CN"/>
        </w:rPr>
        <w:t>被征地农民社会保障资金除留足当期应付的社会保障金外，应全部存入国有商业银行开设的资金专户，在国家法律法规许可的范围内保值增值。记账利率按实际收益计算。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b w:val="0"/>
          <w:bCs w:val="0"/>
          <w:sz w:val="32"/>
          <w:szCs w:val="32"/>
          <w:lang w:val="en-US" w:eastAsia="zh-CN"/>
        </w:rPr>
        <w:t>第二十五条</w:t>
      </w:r>
      <w:r>
        <w:rPr>
          <w:rFonts w:hint="eastAsia" w:eastAsia="仿宋_GB2312"/>
          <w:sz w:val="32"/>
          <w:szCs w:val="32"/>
          <w:lang w:val="en-US" w:eastAsia="zh-CN"/>
        </w:rPr>
        <w:t xml:space="preserve"> 被征地农民社会保障资金及其增值部分和被征地农民领取的养老保障金，按照国家和省的有关规定，免征税费。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b w:val="0"/>
          <w:bCs w:val="0"/>
          <w:sz w:val="32"/>
          <w:szCs w:val="32"/>
          <w:lang w:val="en-US" w:eastAsia="zh-CN"/>
        </w:rPr>
        <w:t xml:space="preserve">第二十六条 </w:t>
      </w:r>
      <w:r>
        <w:rPr>
          <w:rFonts w:hint="eastAsia" w:eastAsia="仿宋_GB2312"/>
          <w:sz w:val="32"/>
          <w:szCs w:val="32"/>
          <w:lang w:val="en-US" w:eastAsia="zh-CN"/>
        </w:rPr>
        <w:t>被征地农民社会保障资金及保值增值情况，每年向被征地农民公布一次，接受社会和被征地农民的监督。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职责分工</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eastAsia="仿宋_GB2312"/>
          <w:sz w:val="32"/>
          <w:szCs w:val="32"/>
          <w:lang w:val="en-US" w:eastAsia="zh-CN"/>
        </w:rPr>
        <w:t xml:space="preserve"> 市政府负责被征地农民社会保障办法的制定、组织推进和监督指导工作。各县（区）人民政府负责本地被征收农民社会保障的组织实施和社会保障各项资金的落实工作。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eastAsia="仿宋_GB2312"/>
          <w:sz w:val="32"/>
          <w:szCs w:val="32"/>
          <w:lang w:val="en-US" w:eastAsia="zh-CN"/>
        </w:rPr>
        <w:t>劳动保障行政部门负责被征地农民社会保障政策的制定和综合管理;财政部门负责制定征地调节资金管理办法和社会保障资金的管理监督;国土资源部门负责土地征用情况和参保人员情况的核准;在征地依法报批前，应将劳动保障行政部门研究制定的被征收地农民社会保障办法纳入被征地补偿安置方案中。征地补偿安置费不落实，不得强行使用被征用土地。被征地农民养老保障个人专户资金由当地国土资源部门在征地时，根据劳动保障部门所属的农村社会养老保险经办机构核定的数额，一次性足额划入当地财政部门开设的被征地农民社会保障资金专户;农业部门负责提供承包土地变化情况;民政部门负责提供最低生活保障标准调整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市农村社会养老保险经办机构负责城市规划区内海州区、细河区、太平区、新邱区、辽宁阜新经济开发区、辽宁阜新国家农业科技园区，阜新蒙古族自治县、清河门区农村社会养老保险经办机构分别负责本地区城市规划区内的被征地农民参加社会保障的申报、登记和保费征缴、待遇审核和给付、个人专户管理等具体工作。所需经费列入同级财政预算。就业服务机构负责为被征地农民提供就业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keepNext w:val="0"/>
        <w:keepLines w:val="0"/>
        <w:pageBreakBefore w:val="0"/>
        <w:widowControl w:val="0"/>
        <w:numPr>
          <w:numId w:val="0"/>
        </w:numPr>
        <w:kinsoku/>
        <w:wordWrap/>
        <w:overflowPunct/>
        <w:topLinePunct w:val="0"/>
        <w:autoSpaceDE/>
        <w:autoSpaceDN/>
        <w:bidi w:val="0"/>
        <w:adjustRightInd/>
        <w:snapToGrid/>
        <w:ind w:leftChars="200"/>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eastAsia="仿宋_GB2312"/>
          <w:sz w:val="32"/>
          <w:szCs w:val="32"/>
          <w:lang w:val="en-US" w:eastAsia="zh-CN"/>
        </w:rPr>
        <w:t xml:space="preserve"> 征收、征用城市规划区外的土地时，不能通过其他方式安置的被征地农民，可参照本办法执行。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eastAsia="仿宋_GB2312"/>
          <w:sz w:val="32"/>
          <w:szCs w:val="32"/>
          <w:lang w:val="en-US" w:eastAsia="zh-CN"/>
        </w:rPr>
        <w:t>本办法由市劳动和社会保障局负责解释。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eastAsia="仿宋_GB2312"/>
          <w:sz w:val="32"/>
          <w:szCs w:val="32"/>
          <w:lang w:val="en-US" w:eastAsia="zh-CN"/>
        </w:rPr>
        <w:t>本办法自发布之日起施行。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附件：2006年被征地农民养老保障缴费档次与领取标准表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pPr>
      <w:r>
        <w:rPr>
          <w:rFonts w:hint="eastAsia" w:eastAsia="仿宋_GB2312"/>
          <w:sz w:val="32"/>
          <w:szCs w:val="32"/>
          <w:lang w:val="en-US" w:eastAsia="zh-CN"/>
        </w:rPr>
        <w:t>2006年被征地农民养老保障缴费标准与领取标准表</w:t>
      </w:r>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tcPr>
          <w:p>
            <w:pPr>
              <w:ind w:left="559" w:leftChars="266" w:firstLine="840" w:firstLineChars="300"/>
              <w:rPr>
                <w:rFonts w:hint="eastAsia" w:ascii="仿宋_GB2312" w:hAnsi="仿宋_GB2312" w:eastAsia="仿宋_GB2312" w:cs="仿宋_GB2312"/>
                <w:sz w:val="28"/>
                <w:szCs w:val="28"/>
                <w:vertAlign w:val="baseli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234950</wp:posOffset>
                      </wp:positionV>
                      <wp:extent cx="1374140" cy="934085"/>
                      <wp:effectExtent l="2540" t="3810" r="13970" b="14605"/>
                      <wp:wrapNone/>
                      <wp:docPr id="7" name="直接连接符 7"/>
                      <wp:cNvGraphicFramePr/>
                      <a:graphic xmlns:a="http://schemas.openxmlformats.org/drawingml/2006/main">
                        <a:graphicData uri="http://schemas.microsoft.com/office/word/2010/wordprocessingShape">
                          <wps:wsp>
                            <wps:cNvCnPr/>
                            <wps:spPr>
                              <a:xfrm>
                                <a:off x="963930" y="1487170"/>
                                <a:ext cx="1374140" cy="934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18.5pt;height:73.55pt;width:108.2pt;z-index:251660288;mso-width-relative:page;mso-height-relative:page;" filled="f" stroked="t" coordsize="21600,21600" o:gfxdata="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7BBVdcAAAAJAQAADwAAAAAAAAABACAAAAAiAAAAZHJzL2Rvd25yZXYueG1sUEsBAhQA&#10;FAAAAAgAh07iQDVfehzzAQAAwQMAAA4AAAAAAAAAAQAgAAAAJgEAAGRycy9lMm9Eb2MueG1sUEsF&#10;BgAAAAAGAAYAWQEAAIs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487680</wp:posOffset>
                      </wp:positionH>
                      <wp:positionV relativeFrom="paragraph">
                        <wp:posOffset>33020</wp:posOffset>
                      </wp:positionV>
                      <wp:extent cx="888365" cy="659765"/>
                      <wp:effectExtent l="2540" t="3810" r="4445" b="22225"/>
                      <wp:wrapNone/>
                      <wp:docPr id="3" name="直接连接符 3"/>
                      <wp:cNvGraphicFramePr/>
                      <a:graphic xmlns:a="http://schemas.openxmlformats.org/drawingml/2006/main">
                        <a:graphicData uri="http://schemas.microsoft.com/office/word/2010/wordprocessingShape">
                          <wps:wsp>
                            <wps:cNvCnPr/>
                            <wps:spPr>
                              <a:xfrm>
                                <a:off x="1495425" y="1285240"/>
                                <a:ext cx="888365" cy="659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4pt;margin-top:2.6pt;height:51.95pt;width:69.95pt;z-index:251659264;mso-width-relative:page;mso-height-relative:page;" filled="f" stroked="t" coordsize="21600,21600" o:gfxdata="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43399YAAAAIAQAADwAAAAAAAAABACAAAAAiAAAAZHJzL2Rvd25yZXYueG1sUEsBAhQAFAAA&#10;AAgAh07iQOBfmMPxAQAAwQMAAA4AAAAAAAAAAQAgAAAAJQEAAGRycy9lMm9Eb2MueG1sUEsFBgAA&#10;AAAGAAYAWQEAAIg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vertAlign w:val="baseline"/>
                <w:lang w:val="en-US" w:eastAsia="zh-CN"/>
              </w:rPr>
              <w:t xml:space="preserve">档次  月领工资  </w:t>
            </w:r>
          </w:p>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 xml:space="preserve"> 年龄</w:t>
            </w:r>
          </w:p>
        </w:tc>
        <w:tc>
          <w:tcPr>
            <w:tcW w:w="2265"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一档（基本档）</w:t>
            </w:r>
          </w:p>
        </w:tc>
        <w:tc>
          <w:tcPr>
            <w:tcW w:w="2265"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二档（基本档）</w:t>
            </w:r>
          </w:p>
        </w:tc>
        <w:tc>
          <w:tcPr>
            <w:tcW w:w="2266"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三档（基本档）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Pr>
          <w:p>
            <w:pPr>
              <w:rPr>
                <w:rFonts w:hint="eastAsia" w:ascii="仿宋_GB2312" w:hAnsi="仿宋_GB2312" w:eastAsia="仿宋_GB2312" w:cs="仿宋_GB2312"/>
                <w:sz w:val="32"/>
                <w:szCs w:val="32"/>
                <w:vertAlign w:val="baseline"/>
              </w:rPr>
            </w:pP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17515.58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23354.11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27731.44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60（女55）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120.0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160.0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 (女54）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122.7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163.6</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58（女53）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125.5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167.3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57（女52）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128.3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171.0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56（女51）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131.2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174.9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55（女50）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134.1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178.8</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54（女49）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137.1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182.9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53（女48）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140.2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187.0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52（女47）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143.4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191.2</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51（女46）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146.6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195.5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50（女45）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149.9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199.9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49（女44）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153.3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204.4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48（女43）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156.7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209.0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47（女42）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160.3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213.7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46（女41）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163.9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218.5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45（女40）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167.5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223.4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44（女39）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171.3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228.4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43（女38）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175.2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233.6</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42（女37）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179.1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238.8</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41（女36）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183.1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244.2</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40（女35）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187.3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249.7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39（女34）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191.5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255.3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38（女33）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195.8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261.0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37（女32）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266.9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36（女31）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204.7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272.9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35（女30）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209.3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279.1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34（女29）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214.0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285.3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33（女28）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218.8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291.8</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32（女27）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223.7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298.3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31（女26）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228.8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305.0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30（女25）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233.9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311.9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29（女24）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239.2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318.9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28（女23）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244.6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326.1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27（女22）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250.1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333.4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26（女21）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255.7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340.9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25（女20）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261.5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348.6</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24（女19）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267.3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356.5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23（女18）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273.4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364.5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22（女17）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279.5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372.7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21（女16）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285.8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381.1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292.2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389.6</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298.8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398.4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305.5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407.4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312.4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416.5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319.4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425.9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505.7</w:t>
            </w:r>
          </w:p>
        </w:tc>
      </w:tr>
    </w:tbl>
    <w:p/>
    <w:p/>
    <w:p/>
    <w:p/>
    <w:p/>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tcPr>
          <w:p>
            <w:pPr>
              <w:ind w:left="559" w:leftChars="266" w:firstLine="840" w:firstLineChars="300"/>
              <w:rPr>
                <w:rFonts w:hint="eastAsia" w:ascii="仿宋_GB2312" w:hAnsi="仿宋_GB2312" w:eastAsia="仿宋_GB2312" w:cs="仿宋_GB2312"/>
                <w:sz w:val="28"/>
                <w:szCs w:val="28"/>
                <w:vertAlign w:val="baseli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234950</wp:posOffset>
                      </wp:positionV>
                      <wp:extent cx="1374140" cy="934085"/>
                      <wp:effectExtent l="2540" t="3810" r="13970" b="14605"/>
                      <wp:wrapNone/>
                      <wp:docPr id="1" name="直接连接符 1"/>
                      <wp:cNvGraphicFramePr/>
                      <a:graphic xmlns:a="http://schemas.openxmlformats.org/drawingml/2006/main">
                        <a:graphicData uri="http://schemas.microsoft.com/office/word/2010/wordprocessingShape">
                          <wps:wsp>
                            <wps:cNvCnPr/>
                            <wps:spPr>
                              <a:xfrm>
                                <a:off x="963930" y="1487170"/>
                                <a:ext cx="1374140" cy="934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18.5pt;height:73.55pt;width:108.2pt;z-index:251662336;mso-width-relative:page;mso-height-relative:page;" filled="f" stroked="t" coordsize="21600,21600" o:gfxdata="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uwQVXXAAAACQEAAA8AAAAAAAAAAQAgAAAAIgAAAGRycy9kb3ducmV2LnhtbFBLAQIU&#10;ABQAAAAIAIdO4kBOJrrP9AEAAMEDAAAOAAAAAAAAAAEAIAAAACYBAABkcnMvZTJvRG9jLnhtbFBL&#10;BQYAAAAABgAGAFkBAACMBQ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487680</wp:posOffset>
                      </wp:positionH>
                      <wp:positionV relativeFrom="paragraph">
                        <wp:posOffset>33020</wp:posOffset>
                      </wp:positionV>
                      <wp:extent cx="888365" cy="659765"/>
                      <wp:effectExtent l="2540" t="3810" r="4445" b="22225"/>
                      <wp:wrapNone/>
                      <wp:docPr id="2" name="直接连接符 2"/>
                      <wp:cNvGraphicFramePr/>
                      <a:graphic xmlns:a="http://schemas.openxmlformats.org/drawingml/2006/main">
                        <a:graphicData uri="http://schemas.microsoft.com/office/word/2010/wordprocessingShape">
                          <wps:wsp>
                            <wps:cNvCnPr/>
                            <wps:spPr>
                              <a:xfrm>
                                <a:off x="1495425" y="1285240"/>
                                <a:ext cx="888365" cy="659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4pt;margin-top:2.6pt;height:51.95pt;width:69.95pt;z-index:251661312;mso-width-relative:page;mso-height-relative:page;" filled="f" stroked="t" coordsize="21600,21600" o:gfxdata="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N9/fWAAAACAEAAA8AAAAAAAAAAQAgAAAAIgAAAGRycy9kb3ducmV2LnhtbFBLAQIUABQA&#10;AAAIAIdO4kBUN38J8gEAAMEDAAAOAAAAAAAAAAEAIAAAACUBAABkcnMvZTJvRG9jLnhtbFBLBQYA&#10;AAAABgAGAFkBAACJ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vertAlign w:val="baseline"/>
                <w:lang w:val="en-US" w:eastAsia="zh-CN"/>
              </w:rPr>
              <w:t xml:space="preserve">档次  月领工资  </w:t>
            </w:r>
          </w:p>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 xml:space="preserve"> 年龄</w:t>
            </w:r>
          </w:p>
        </w:tc>
        <w:tc>
          <w:tcPr>
            <w:tcW w:w="226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四档</w:t>
            </w:r>
          </w:p>
        </w:tc>
        <w:tc>
          <w:tcPr>
            <w:tcW w:w="226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五档</w:t>
            </w:r>
          </w:p>
        </w:tc>
        <w:tc>
          <w:tcPr>
            <w:tcW w:w="2266"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流荡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Pr>
          <w:p>
            <w:pPr>
              <w:rPr>
                <w:rFonts w:hint="eastAsia" w:ascii="仿宋_GB2312" w:hAnsi="仿宋_GB2312" w:eastAsia="仿宋_GB2312" w:cs="仿宋_GB2312"/>
                <w:sz w:val="32"/>
                <w:szCs w:val="32"/>
                <w:vertAlign w:val="baseline"/>
              </w:rPr>
            </w:pP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32111.90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36490.79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40869.69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60（女55）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220.0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250.0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 (女54）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225.0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255.6</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58（女53）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230.0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261.4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57（女52）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235.2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267.3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56（女51）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240.5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273.3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55（女50）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245.9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279.4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54（女49）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251.4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285.7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53（女48）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257.1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292.1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52（女47）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262.9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298.7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51（女46）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268.8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305.4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50（女45）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274.8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312.3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49（女44）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281.0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319.3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48（女43）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287.3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326.5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47（女42）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293.8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333.9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46（女41）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300.4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341.4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45（女40）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307.2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349.1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44（女39）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314.1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356.9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43（女38）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321.1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364.9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42（女37）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328.4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373.1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41（女36）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335.8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381.5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40（女35）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343.3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390.1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39（女34）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351.0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398.9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38（女33）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358.9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407.9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37（女32）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367.0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417.1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36（女31）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375.3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426.4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35（女30）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383.7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436.0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34（女29）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392.3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445.8</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33（女28）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401.2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455.9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32（女27）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410.2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466.1</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31（女26）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419.4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476.6</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30（女25）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428.9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487.3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29（女24）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438.5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498.3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28（女23）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448.4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509.5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27（女22）</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458.5</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520.9</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26（女21）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468.8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532.7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25（女20）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479.3</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544.7</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24（女19）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490.1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557.0</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23（女18）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501.1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569.5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22（女17）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512.4</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582.3</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21（女16）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524.0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595.4</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535.7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608.8</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547.8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622.5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560.1</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636.5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572.7</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650.8</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585.6</w:t>
            </w:r>
          </w:p>
        </w:tc>
        <w:tc>
          <w:tcPr>
            <w:tcW w:w="226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665.5</w:t>
            </w:r>
          </w:p>
        </w:tc>
        <w:tc>
          <w:tcPr>
            <w:tcW w:w="226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745.3</w:t>
            </w:r>
          </w:p>
        </w:tc>
      </w:tr>
    </w:tbl>
    <w:p/>
    <w:p/>
    <w:p/>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1524"/>
        <w:gridCol w:w="1797"/>
        <w:gridCol w:w="17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Merge w:val="restart"/>
          </w:tcPr>
          <w:p>
            <w:pPr>
              <w:ind w:left="559" w:leftChars="266" w:firstLine="840" w:firstLineChars="300"/>
              <w:rPr>
                <w:rFonts w:hint="eastAsia" w:ascii="仿宋_GB2312" w:hAnsi="仿宋_GB2312" w:eastAsia="仿宋_GB2312" w:cs="仿宋_GB2312"/>
                <w:sz w:val="28"/>
                <w:szCs w:val="28"/>
                <w:vertAlign w:val="baseline"/>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234950</wp:posOffset>
                      </wp:positionV>
                      <wp:extent cx="1374140" cy="934085"/>
                      <wp:effectExtent l="2540" t="3810" r="13970" b="14605"/>
                      <wp:wrapNone/>
                      <wp:docPr id="13" name="直接连接符 13"/>
                      <wp:cNvGraphicFramePr/>
                      <a:graphic xmlns:a="http://schemas.openxmlformats.org/drawingml/2006/main">
                        <a:graphicData uri="http://schemas.microsoft.com/office/word/2010/wordprocessingShape">
                          <wps:wsp>
                            <wps:cNvCnPr/>
                            <wps:spPr>
                              <a:xfrm>
                                <a:off x="963930" y="1487170"/>
                                <a:ext cx="1374140" cy="934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18.5pt;height:73.55pt;width:108.2pt;z-index:251664384;mso-width-relative:page;mso-height-relative:page;" filled="f" stroked="t" coordsize="21600,21600" o:gfxdata="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sEFV1wAAAAkBAAAPAAAAAAAAAAEAIAAAACIAAABkcnMvZG93bnJldi54bWxQSwEC&#10;FAAUAAAACACHTuJATXjuI/UBAADDAwAADgAAAAAAAAABACAAAAAmAQAAZHJzL2Uyb0RvYy54bWxQ&#10;SwUGAAAAAAYABgBZAQAAjQU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487680</wp:posOffset>
                      </wp:positionH>
                      <wp:positionV relativeFrom="paragraph">
                        <wp:posOffset>33020</wp:posOffset>
                      </wp:positionV>
                      <wp:extent cx="888365" cy="659765"/>
                      <wp:effectExtent l="2540" t="3810" r="4445" b="22225"/>
                      <wp:wrapNone/>
                      <wp:docPr id="14" name="直接连接符 14"/>
                      <wp:cNvGraphicFramePr/>
                      <a:graphic xmlns:a="http://schemas.openxmlformats.org/drawingml/2006/main">
                        <a:graphicData uri="http://schemas.microsoft.com/office/word/2010/wordprocessingShape">
                          <wps:wsp>
                            <wps:cNvCnPr/>
                            <wps:spPr>
                              <a:xfrm>
                                <a:off x="1495425" y="1285240"/>
                                <a:ext cx="888365" cy="659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4pt;margin-top:2.6pt;height:51.95pt;width:69.95pt;z-index:251663360;mso-width-relative:page;mso-height-relative:page;" filled="f" stroked="t" coordsize="21600,21600" o:gfxdata="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N9/fWAAAACAEAAA8AAAAAAAAAAQAgAAAAIgAAAGRycy9kb3ducmV2LnhtbFBLAQIUABQA&#10;AAAIAIdO4kAl/Ur38gEAAMMDAAAOAAAAAAAAAAEAIAAAACUBAABkcnMvZTJvRG9jLnhtbFBLBQYA&#10;AAAABgAGAFkBAACJ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vertAlign w:val="baseline"/>
                <w:lang w:val="en-US" w:eastAsia="zh-CN"/>
              </w:rPr>
              <w:t xml:space="preserve">档次  月领工资  </w:t>
            </w:r>
          </w:p>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 xml:space="preserve"> 年龄</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七档</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八档</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九档</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十档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Merge w:val="continue"/>
          </w:tcPr>
          <w:p>
            <w:pPr>
              <w:rPr>
                <w:rFonts w:hint="eastAsia" w:ascii="仿宋_GB2312" w:hAnsi="仿宋_GB2312" w:eastAsia="仿宋_GB2312" w:cs="仿宋_GB2312"/>
                <w:sz w:val="32"/>
                <w:szCs w:val="32"/>
                <w:vertAlign w:val="baseline"/>
              </w:rPr>
            </w:pP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45248.58</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49627.48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54006.38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58385.27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60（女55）</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310.0</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340.0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370.0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 (女54）</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317.0</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347.7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378.3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58（女53）</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324.1</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355.5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386.8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57（女52）</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331.4</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363.5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395.5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56（女51）</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338.9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371.6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404.4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55（女50）</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346.5</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380.0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413.5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54（女49）</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354.3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388.6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422.9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53（女48）</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362.2</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397.3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432.4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52（女47）</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370.4</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406.2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442.1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51（女46）</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378.7</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415.4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452.0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50（女45）</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387.3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424.7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462.2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49（女44）</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395.9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434.3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472.6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48（女43）</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404.9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444.1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483.2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47（女42）</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413.9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454.0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492.1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46（女41）</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423.3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464.3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505.2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45（女40）</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432.8</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474.7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516.6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44（女39）</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442.6</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485.4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528.2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43（女38）</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452.5</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496.3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540.1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42（女37）</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462.7</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507.5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552.3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41（女36）</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473.1</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518.9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564.7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40（女35）</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483.8</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530.6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577.4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39（女34）</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494.6</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542.5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590.4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38（女33）</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505.8</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554.7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603.7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37（女32）</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517.2</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567.2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617.2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36（女31）</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528.8</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578.0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631.1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35（女30）</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540.7</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593.0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645.3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34（女29）</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552.9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606.4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659.9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33（女28）</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565.3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620.0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674.7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32（女27）</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578.0</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633.9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689.9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31（女26）</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591.0</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648.2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705.4</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30（女25）</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604.3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662.8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721.3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29（女24）</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617.9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677.7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737.5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28（女23）</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631.8</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693.0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754.1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27（女22）</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646.0</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708.5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771.1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26（女21）</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660.6</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724.5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788.2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25（女20）</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675.4</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740.8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806.2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24（女19）</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690.6</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757.5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824.3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23（女18）</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706.2</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774.5</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842.8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22（女17）</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722.1</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791.9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861.8</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21（女16）</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738.3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809.7</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881.2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754.9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827.9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901.0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771.9</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846.6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921.3</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789.3</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865.6</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942.0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807.0</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885.1</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963.2</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0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1524"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825.2</w:t>
            </w:r>
          </w:p>
        </w:tc>
        <w:tc>
          <w:tcPr>
            <w:tcW w:w="179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905.0</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984.9</w:t>
            </w:r>
          </w:p>
        </w:tc>
        <w:tc>
          <w:tcPr>
            <w:tcW w:w="1767"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1064.7</w:t>
            </w:r>
          </w:p>
        </w:tc>
      </w:tr>
    </w:tbl>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EF1DC"/>
    <w:multiLevelType w:val="singleLevel"/>
    <w:tmpl w:val="8D8EF1DC"/>
    <w:lvl w:ilvl="0" w:tentative="0">
      <w:start w:val="1"/>
      <w:numFmt w:val="chineseCounting"/>
      <w:suff w:val="space"/>
      <w:lvlText w:val="第%1条"/>
      <w:lvlJc w:val="left"/>
      <w:pPr>
        <w:ind w:left="-10"/>
      </w:pPr>
      <w:rPr>
        <w:rFonts w:hint="eastAsia" w:ascii="黑体" w:hAnsi="黑体" w:eastAsia="黑体" w:cs="黑体"/>
      </w:rPr>
    </w:lvl>
  </w:abstractNum>
  <w:abstractNum w:abstractNumId="1">
    <w:nsid w:val="C840188F"/>
    <w:multiLevelType w:val="singleLevel"/>
    <w:tmpl w:val="C840188F"/>
    <w:lvl w:ilvl="0" w:tentative="0">
      <w:start w:val="1"/>
      <w:numFmt w:val="chineseCounting"/>
      <w:suff w:val="nothing"/>
      <w:lvlText w:val="（%1）"/>
      <w:lvlJc w:val="left"/>
      <w:rPr>
        <w:rFonts w:hint="eastAsia"/>
      </w:rPr>
    </w:lvl>
  </w:abstractNum>
  <w:abstractNum w:abstractNumId="2">
    <w:nsid w:val="D1F7230F"/>
    <w:multiLevelType w:val="singleLevel"/>
    <w:tmpl w:val="D1F7230F"/>
    <w:lvl w:ilvl="0" w:tentative="0">
      <w:start w:val="6"/>
      <w:numFmt w:val="chineseCounting"/>
      <w:suff w:val="space"/>
      <w:lvlText w:val="第%1章"/>
      <w:lvlJc w:val="left"/>
      <w:rPr>
        <w:rFonts w:hint="eastAsia"/>
      </w:rPr>
    </w:lvl>
  </w:abstractNum>
  <w:abstractNum w:abstractNumId="3">
    <w:nsid w:val="EB7D3D56"/>
    <w:multiLevelType w:val="singleLevel"/>
    <w:tmpl w:val="EB7D3D56"/>
    <w:lvl w:ilvl="0" w:tentative="0">
      <w:start w:val="7"/>
      <w:numFmt w:val="chineseCounting"/>
      <w:suff w:val="space"/>
      <w:lvlText w:val="第%1章"/>
      <w:lvlJc w:val="left"/>
      <w:rPr>
        <w:rFonts w:hint="eastAsia"/>
      </w:rPr>
    </w:lvl>
  </w:abstractNum>
  <w:abstractNum w:abstractNumId="4">
    <w:nsid w:val="FA2E1608"/>
    <w:multiLevelType w:val="singleLevel"/>
    <w:tmpl w:val="FA2E1608"/>
    <w:lvl w:ilvl="0" w:tentative="0">
      <w:start w:val="2"/>
      <w:numFmt w:val="chineseCounting"/>
      <w:suff w:val="space"/>
      <w:lvlText w:val="第%1章"/>
      <w:lvlJc w:val="left"/>
      <w:rPr>
        <w:rFonts w:hint="eastAsia"/>
      </w:rPr>
    </w:lvl>
  </w:abstractNum>
  <w:abstractNum w:abstractNumId="5">
    <w:nsid w:val="646279A0"/>
    <w:multiLevelType w:val="singleLevel"/>
    <w:tmpl w:val="646279A0"/>
    <w:lvl w:ilvl="0" w:tentative="0">
      <w:start w:val="19"/>
      <w:numFmt w:val="chineseCounting"/>
      <w:suff w:val="space"/>
      <w:lvlText w:val="第%1条"/>
      <w:lvlJc w:val="left"/>
      <w:rPr>
        <w:rFonts w:hint="eastAsia" w:ascii="黑体" w:hAnsi="黑体" w:eastAsia="黑体" w:cs="黑体"/>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5456D"/>
    <w:rsid w:val="19B82A0F"/>
    <w:rsid w:val="2A7F1910"/>
    <w:rsid w:val="4CDF7E19"/>
    <w:rsid w:val="51C5456D"/>
    <w:rsid w:val="5E03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4509</Words>
  <Characters>6669</Characters>
  <Lines>0</Lines>
  <Paragraphs>0</Paragraphs>
  <TotalTime>18</TotalTime>
  <ScaleCrop>false</ScaleCrop>
  <LinksUpToDate>false</LinksUpToDate>
  <CharactersWithSpaces>6704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2022-01-25T02:23:00Z</dcterms:created>
  <dc:creator>A羊娃娃</dc:creator>
  <cp:lastModifiedBy>A羊娃娃</cp:lastModifiedBy>
  <dcterms:modified xsi:type="dcterms:W3CDTF">2022-01-25T03:41:39Z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B50DE0E131B54496A1EC78FDEF44D642</vt:lpwstr>
  </property>
</Properties>
</file>