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shd w:val="clear" w:fill="FFFFFF"/>
          <w:lang w:val="en-US" w:eastAsia="zh-CN"/>
        </w:rPr>
      </w:pPr>
      <w:r>
        <w:rPr>
          <w:rFonts w:hint="eastAsia" w:ascii="宋体" w:hAnsi="宋体" w:eastAsia="宋体" w:cs="宋体"/>
          <w:i w:val="0"/>
          <w:iCs w:val="0"/>
          <w:caps w:val="0"/>
          <w:color w:val="333333"/>
          <w:spacing w:val="0"/>
          <w:sz w:val="44"/>
          <w:szCs w:val="44"/>
          <w:shd w:val="clear" w:fill="FFFFFF"/>
          <w:lang w:val="en-US" w:eastAsia="zh-CN"/>
        </w:rPr>
        <w:t>关于做好2001年冬季退役士兵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宋体" w:hAnsi="宋体" w:eastAsia="宋体" w:cs="宋体"/>
          <w:i w:val="0"/>
          <w:iCs w:val="0"/>
          <w:caps w:val="0"/>
          <w:color w:val="333333"/>
          <w:spacing w:val="0"/>
          <w:sz w:val="44"/>
          <w:szCs w:val="44"/>
          <w:shd w:val="clear" w:fill="FFFFFF"/>
          <w:lang w:val="en-US" w:eastAsia="zh-CN"/>
        </w:rPr>
        <w:t>安置工作</w:t>
      </w:r>
      <w:r>
        <w:rPr>
          <w:rFonts w:hint="eastAsia" w:ascii="宋体" w:hAnsi="宋体" w:eastAsia="宋体" w:cs="宋体"/>
          <w:i w:val="0"/>
          <w:iCs w:val="0"/>
          <w:caps w:val="0"/>
          <w:color w:val="333333"/>
          <w:spacing w:val="0"/>
          <w:sz w:val="44"/>
          <w:szCs w:val="44"/>
          <w:shd w:val="clear" w:fill="FFFFFF"/>
        </w:rPr>
        <w:t>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阜政发〔20</w:t>
      </w:r>
      <w:r>
        <w:rPr>
          <w:rFonts w:hint="eastAsia" w:ascii="仿宋_GB2312" w:hAnsi="仿宋_GB2312" w:eastAsia="仿宋_GB2312" w:cs="仿宋_GB2312"/>
          <w:i w:val="0"/>
          <w:iCs w:val="0"/>
          <w:caps w:val="0"/>
          <w:color w:val="333333"/>
          <w:spacing w:val="0"/>
          <w:sz w:val="32"/>
          <w:szCs w:val="32"/>
          <w:shd w:val="clear" w:fill="FFFFFF"/>
          <w:lang w:val="en-US" w:eastAsia="zh-CN"/>
        </w:rPr>
        <w:t>02</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36</w:t>
      </w:r>
      <w:r>
        <w:rPr>
          <w:rFonts w:hint="eastAsia" w:ascii="仿宋_GB2312" w:hAnsi="仿宋_GB2312" w:eastAsia="仿宋_GB2312" w:cs="仿宋_GB2312"/>
          <w:i w:val="0"/>
          <w:iCs w:val="0"/>
          <w:caps w:val="0"/>
          <w:color w:val="333333"/>
          <w:spacing w:val="0"/>
          <w:sz w:val="32"/>
          <w:szCs w:val="32"/>
          <w:shd w:val="clear" w:fill="FFFFFF"/>
        </w:rPr>
        <w:t>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各县、区人民政府，市政府各部门，中省直各单位：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根据《国务院、中央军委关于2001年冬季士兵退出现役工作的通知》（国发</w:t>
      </w:r>
      <w:r>
        <w:rPr>
          <w:rFonts w:hint="eastAsia" w:ascii="仿宋_GB2312" w:hAnsi="仿宋_GB2312" w:eastAsia="仿宋_GB2312" w:cs="仿宋_GB2312"/>
          <w:i w:val="0"/>
          <w:iCs w:val="0"/>
          <w:caps w:val="0"/>
          <w:color w:val="333333"/>
          <w:spacing w:val="0"/>
          <w:sz w:val="32"/>
          <w:szCs w:val="32"/>
          <w:shd w:val="clear" w:fill="FFFFFF"/>
        </w:rPr>
        <w:t>〔20</w:t>
      </w:r>
      <w:r>
        <w:rPr>
          <w:rFonts w:hint="eastAsia" w:ascii="仿宋_GB2312" w:hAnsi="仿宋_GB2312" w:eastAsia="仿宋_GB2312" w:cs="仿宋_GB2312"/>
          <w:i w:val="0"/>
          <w:iCs w:val="0"/>
          <w:caps w:val="0"/>
          <w:color w:val="333333"/>
          <w:spacing w:val="0"/>
          <w:sz w:val="32"/>
          <w:szCs w:val="32"/>
          <w:shd w:val="clear" w:fill="FFFFFF"/>
          <w:lang w:val="en-US" w:eastAsia="zh-CN"/>
        </w:rPr>
        <w:t>01</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31</w:t>
      </w:r>
      <w:r>
        <w:rPr>
          <w:rFonts w:hint="eastAsia" w:ascii="仿宋_GB2312" w:hAnsi="仿宋_GB2312" w:eastAsia="仿宋_GB2312" w:cs="仿宋_GB2312"/>
          <w:i w:val="0"/>
          <w:iCs w:val="0"/>
          <w:caps w:val="0"/>
          <w:color w:val="333333"/>
          <w:spacing w:val="0"/>
          <w:sz w:val="32"/>
          <w:szCs w:val="32"/>
          <w:shd w:val="clear" w:fill="FFFFFF"/>
        </w:rPr>
        <w:t>号</w:t>
      </w:r>
      <w:r>
        <w:rPr>
          <w:rFonts w:hint="eastAsia" w:ascii="仿宋_GB2312" w:hAnsi="仿宋_GB2312" w:eastAsia="仿宋_GB2312" w:cs="仿宋_GB2312"/>
          <w:i w:val="0"/>
          <w:caps w:val="0"/>
          <w:color w:val="333333"/>
          <w:spacing w:val="0"/>
          <w:sz w:val="32"/>
          <w:szCs w:val="32"/>
          <w:shd w:val="clear" w:fill="FFFFFF"/>
          <w:lang w:val="en-US" w:eastAsia="zh-CN"/>
        </w:rPr>
        <w:t>）和省政府《关于做好2001年冬季退役士兵接收安置工作的通知》（辽政发</w:t>
      </w:r>
      <w:r>
        <w:rPr>
          <w:rFonts w:hint="eastAsia" w:ascii="仿宋_GB2312" w:hAnsi="仿宋_GB2312" w:eastAsia="仿宋_GB2312" w:cs="仿宋_GB2312"/>
          <w:i w:val="0"/>
          <w:iCs w:val="0"/>
          <w:caps w:val="0"/>
          <w:color w:val="333333"/>
          <w:spacing w:val="0"/>
          <w:sz w:val="32"/>
          <w:szCs w:val="32"/>
          <w:shd w:val="clear" w:fill="FFFFFF"/>
        </w:rPr>
        <w:t>〔20</w:t>
      </w:r>
      <w:r>
        <w:rPr>
          <w:rFonts w:hint="eastAsia" w:ascii="仿宋_GB2312" w:hAnsi="仿宋_GB2312" w:eastAsia="仿宋_GB2312" w:cs="仿宋_GB2312"/>
          <w:i w:val="0"/>
          <w:iCs w:val="0"/>
          <w:caps w:val="0"/>
          <w:color w:val="333333"/>
          <w:spacing w:val="0"/>
          <w:sz w:val="32"/>
          <w:szCs w:val="32"/>
          <w:shd w:val="clear" w:fill="FFFFFF"/>
          <w:lang w:val="en-US" w:eastAsia="zh-CN"/>
        </w:rPr>
        <w:t>01</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50</w:t>
      </w:r>
      <w:r>
        <w:rPr>
          <w:rFonts w:hint="eastAsia" w:ascii="仿宋_GB2312" w:hAnsi="仿宋_GB2312" w:eastAsia="仿宋_GB2312" w:cs="仿宋_GB2312"/>
          <w:i w:val="0"/>
          <w:iCs w:val="0"/>
          <w:caps w:val="0"/>
          <w:color w:val="333333"/>
          <w:spacing w:val="0"/>
          <w:sz w:val="32"/>
          <w:szCs w:val="32"/>
          <w:shd w:val="clear" w:fill="FFFFFF"/>
        </w:rPr>
        <w:t>号</w:t>
      </w:r>
      <w:r>
        <w:rPr>
          <w:rFonts w:hint="eastAsia" w:ascii="仿宋_GB2312" w:hAnsi="仿宋_GB2312" w:eastAsia="仿宋_GB2312" w:cs="仿宋_GB2312"/>
          <w:i w:val="0"/>
          <w:caps w:val="0"/>
          <w:color w:val="333333"/>
          <w:spacing w:val="0"/>
          <w:sz w:val="32"/>
          <w:szCs w:val="32"/>
          <w:shd w:val="clear" w:fill="FFFFFF"/>
          <w:lang w:val="en-US" w:eastAsia="zh-CN"/>
        </w:rPr>
        <w:t>）精神，为做好我市2004年冬季退役士兵接收安置工作，现做如下通知：</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 w:leftChars="0" w:right="0" w:rightChars="0" w:firstLine="640" w:firstLineChars="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认真落实安置政策，切实做好退役士兵安置工作</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退役士兵安置工作，要严格执行《中华人民共和国兵役法》、《士兵退出现役安置暂行执行办法》、《退伍义务兵安置条例》和《辽宁省兵役工作条例》等法律法规，认真贯彻国务院、中央军委及省政府近年来制定的一系列有关退役士兵安置工作的政策规定，为适应我市经济转型的新形势，进一步解放思想，转变观念，深化改革，全面推行安排就业与扶持就业相结合的安置办法，确保年度安置任务的完成。</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要继续坚持全社会均衡负担安置义务的原则，实行按系统分配任务，包干安置的办法。所有机关、团体、企业、事业单位，不分所有制性质和组织形式，都必须按照国家有关规定接收安置退役士兵。任何单位和个人不得拒绝接收政府分配的安置任务。对接收安置确实有实际困难的单位，经下达安置计划的主管部门批准，可以实行安置任务有偿转移，通过经济补偿形式落实应承担的安置任务。用人单位实行安置任务有偿转移的支付标准、列支渠道、资金管理使用仍按</w:t>
      </w:r>
      <w:r>
        <w:rPr>
          <w:rFonts w:hint="eastAsia" w:ascii="仿宋_GB2312" w:hAnsi="仿宋_GB2312" w:eastAsia="仿宋_GB2312" w:cs="仿宋_GB2312"/>
          <w:i w:val="0"/>
          <w:iCs w:val="0"/>
          <w:caps w:val="0"/>
          <w:color w:val="333333"/>
          <w:spacing w:val="0"/>
          <w:sz w:val="32"/>
          <w:szCs w:val="32"/>
          <w:shd w:val="clear" w:fill="FFFFFF"/>
        </w:rPr>
        <w:t>阜政发〔20</w:t>
      </w:r>
      <w:r>
        <w:rPr>
          <w:rFonts w:hint="eastAsia" w:ascii="仿宋_GB2312" w:hAnsi="仿宋_GB2312" w:eastAsia="仿宋_GB2312" w:cs="仿宋_GB2312"/>
          <w:i w:val="0"/>
          <w:iCs w:val="0"/>
          <w:caps w:val="0"/>
          <w:color w:val="333333"/>
          <w:spacing w:val="0"/>
          <w:sz w:val="32"/>
          <w:szCs w:val="32"/>
          <w:shd w:val="clear" w:fill="FFFFFF"/>
          <w:lang w:val="en-US" w:eastAsia="zh-CN"/>
        </w:rPr>
        <w:t>01</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20</w:t>
      </w:r>
      <w:r>
        <w:rPr>
          <w:rFonts w:hint="eastAsia" w:ascii="仿宋_GB2312" w:hAnsi="仿宋_GB2312" w:eastAsia="仿宋_GB2312" w:cs="仿宋_GB2312"/>
          <w:i w:val="0"/>
          <w:iCs w:val="0"/>
          <w:caps w:val="0"/>
          <w:color w:val="333333"/>
          <w:spacing w:val="0"/>
          <w:sz w:val="32"/>
          <w:szCs w:val="32"/>
          <w:shd w:val="clear" w:fill="FFFFFF"/>
        </w:rPr>
        <w:t>号</w:t>
      </w:r>
      <w:r>
        <w:rPr>
          <w:rFonts w:hint="eastAsia" w:ascii="仿宋_GB2312" w:hAnsi="仿宋_GB2312" w:eastAsia="仿宋_GB2312" w:cs="仿宋_GB2312"/>
          <w:i w:val="0"/>
          <w:iCs w:val="0"/>
          <w:caps w:val="0"/>
          <w:color w:val="333333"/>
          <w:spacing w:val="0"/>
          <w:sz w:val="32"/>
          <w:szCs w:val="32"/>
          <w:shd w:val="clear" w:fill="FFFFFF"/>
          <w:lang w:val="en-US" w:eastAsia="zh-CN"/>
        </w:rPr>
        <w:t>文件规定执行。</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推行政府安排就业与扶持就业相结合的安置办法，积极鼓励城镇退役士兵自谋职业。各县区要从本地区安置状况的实际出发，立足于维护退役士兵的合法权益，积极推进城镇退役士兵安置改革，安置能力较强的县区可以安排就业为主，农业县、区可实行扶持就业为主的安置办法，条件具备的可在做好工作、周密计划的基础上全部实行扶持就业。退役士兵自谋职业要坚持自愿，对不自愿自谋职业的，当地政府要给予分配。各县、区在扶持城镇退役士兵自谋职业的过程中，要认真抓好“经济补助、职业培训、职业介绍、优惠政策”等方面工作的落实。各级政府要根据自谋职业退役士兵的数量，把所需要的自谋职业补助经费列入当地财政预算，并通过安置任务有偿转移和社会筹集等形式，保障自谋职业退役士兵的一次性经济补助及时足额发放。自谋职业的退役士兵按照《国务院国家税务总局关于退役士兵自谋职业享受有关税收优惠政策的通知》</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国办</w:t>
      </w:r>
      <w:r>
        <w:rPr>
          <w:rFonts w:hint="eastAsia" w:ascii="仿宋_GB2312" w:hAnsi="仿宋_GB2312" w:eastAsia="仿宋_GB2312" w:cs="仿宋_GB2312"/>
          <w:i w:val="0"/>
          <w:iCs w:val="0"/>
          <w:caps w:val="0"/>
          <w:color w:val="333333"/>
          <w:spacing w:val="0"/>
          <w:sz w:val="32"/>
          <w:szCs w:val="32"/>
          <w:shd w:val="clear" w:fill="FFFFFF"/>
        </w:rPr>
        <w:t>发〔20</w:t>
      </w:r>
      <w:r>
        <w:rPr>
          <w:rFonts w:hint="eastAsia" w:ascii="仿宋_GB2312" w:hAnsi="仿宋_GB2312" w:eastAsia="仿宋_GB2312" w:cs="仿宋_GB2312"/>
          <w:i w:val="0"/>
          <w:iCs w:val="0"/>
          <w:caps w:val="0"/>
          <w:color w:val="333333"/>
          <w:spacing w:val="0"/>
          <w:sz w:val="32"/>
          <w:szCs w:val="32"/>
          <w:shd w:val="clear" w:fill="FFFFFF"/>
          <w:lang w:val="en-US" w:eastAsia="zh-CN"/>
        </w:rPr>
        <w:t>01</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11</w:t>
      </w:r>
      <w:r>
        <w:rPr>
          <w:rFonts w:hint="eastAsia" w:ascii="仿宋_GB2312" w:hAnsi="仿宋_GB2312" w:eastAsia="仿宋_GB2312" w:cs="仿宋_GB2312"/>
          <w:i w:val="0"/>
          <w:iCs w:val="0"/>
          <w:caps w:val="0"/>
          <w:color w:val="333333"/>
          <w:spacing w:val="0"/>
          <w:sz w:val="32"/>
          <w:szCs w:val="32"/>
          <w:shd w:val="clear" w:fill="FFFFFF"/>
        </w:rPr>
        <w:t>号</w:t>
      </w:r>
      <w:r>
        <w:rPr>
          <w:rFonts w:hint="eastAsia" w:ascii="仿宋_GB2312" w:hAnsi="仿宋_GB2312" w:eastAsia="仿宋_GB2312" w:cs="仿宋_GB2312"/>
          <w:i w:val="0"/>
          <w:iCs w:val="0"/>
          <w:caps w:val="0"/>
          <w:color w:val="333333"/>
          <w:spacing w:val="0"/>
          <w:sz w:val="32"/>
          <w:szCs w:val="32"/>
          <w:shd w:val="clear" w:fill="FFFFFF"/>
          <w:lang w:val="en-US" w:eastAsia="zh-CN"/>
        </w:rPr>
        <w:t>文件</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的有关规定享受有关税收优惠政策。工商管理部门对从事个体经营或创办经济实体的自谋职业退役士兵，要免费核发营业执照和视情况减免工商行政管理行政性收费。要鼓励和扶持有专长的退役士兵创办经济实体。对退役士兵创办的经济实体和从事民营经济的，各级政府和有关部门要给予优惠政策，并进行帮助和扶持。</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对安排工作的退役士兵要确保其合法权益得到有效保障。接收退役士兵的单位要按照《中华人民共和国劳动法》的有关规定，与退役士兵签定劳动合同，可不约定试用期。在合同期内非本人原因或严重过失不得解除劳动合同。在城镇安排就业的退役士兵，应按照国家有关规定依法参加当地各项社会保险、缴纳社会保险费，享受社会保险待遇。退役士兵在城镇安排就业后，其军龄连同待分配时间计算为连续工龄，并视同为社会保险费缴费年限。退役士兵待分配期间，当地政府按照不低于当地最低生活水平的原则发给其生活补助费。</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加大对退役士兵的培训力度，为退役士兵创造竞争上岗的条件。各县区要按照辽宁省民政厅、辽宁省劳动和社会保障厅《关于加强退役士兵职业技能培训工作的通知》（辽民安函</w:t>
      </w:r>
      <w:r>
        <w:rPr>
          <w:rFonts w:hint="eastAsia" w:ascii="仿宋_GB2312" w:hAnsi="仿宋_GB2312" w:eastAsia="仿宋_GB2312" w:cs="仿宋_GB2312"/>
          <w:i w:val="0"/>
          <w:iCs w:val="0"/>
          <w:caps w:val="0"/>
          <w:color w:val="333333"/>
          <w:spacing w:val="0"/>
          <w:sz w:val="32"/>
          <w:szCs w:val="32"/>
          <w:shd w:val="clear" w:fill="FFFFFF"/>
        </w:rPr>
        <w:t>〔20</w:t>
      </w:r>
      <w:r>
        <w:rPr>
          <w:rFonts w:hint="eastAsia" w:ascii="仿宋_GB2312" w:hAnsi="仿宋_GB2312" w:eastAsia="仿宋_GB2312" w:cs="仿宋_GB2312"/>
          <w:i w:val="0"/>
          <w:iCs w:val="0"/>
          <w:caps w:val="0"/>
          <w:color w:val="333333"/>
          <w:spacing w:val="0"/>
          <w:sz w:val="32"/>
          <w:szCs w:val="32"/>
          <w:shd w:val="clear" w:fill="FFFFFF"/>
          <w:lang w:val="en-US" w:eastAsia="zh-CN"/>
        </w:rPr>
        <w:t>01</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38号）要求，把退役士兵培训工作纳入当地职业教育培训计划，抓好落实，提高退役士兵的科学文化和职业技能素质，使退役士兵早日实现从军人到合格工人的转变，提高他们的就业能力和竞争上岗的能力，早日走上能够发挥自己特长的工作岗位，为阜新经济转型作出应有的贡献。各县区的人才劳动力市场和退役士兵就业中介服务机构要积极做好劳动力市场调查，广泛收集适合退役士兵特点的用工信息，及时为自谋职业的退役士兵提供就业咨询、就业信息、人才交流等中介服务，使自谋职业的退役士兵有业可从，确保安置改革顺利进行。</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对回农村的退役士兵，要继续按照省《培养和使用军地两用人才工作发展规划》的要求，要结合当地实际，采取可行措施，加强现代农业科学知识和市场经济知识的培训，提高他们的整体素质，加大军地两用人才开发使用力度，充分发挥他们在农村基层政权和组织建设中的骨干作用，为农村的两个文明建设做出贡献。对回乡的军地两用人才，各级安置部门要有组织、有计划地把他们推向城乡劳动力市场，向市内外、省内外用人单位做好推荐介绍工作。</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0" w:leftChars="0" w:right="0" w:rightChars="0" w:firstLine="640" w:firstLineChars="0"/>
        <w:jc w:val="left"/>
        <w:rPr>
          <w:rFonts w:hint="eastAsia" w:ascii="黑体" w:hAnsi="黑体" w:eastAsia="黑体" w:cs="黑体"/>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加强对退役士兵安置工作的领导</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做好退役士兵的安置工作，是各级人民政府的一项重要政治任务。各级政府、各有关部门要认真贯彻江泽民同志“三个代表”重要思想，认真贯彻执行国家有关安置政策法规，切实加强对退役士兵安置工作的领导，纳入重要议事日程，采取有效措施解决好安置工作中的实际问题。对于重点、难点问题主要领导要亲自抓，分管领导重点抓。要建立和完善退役士兵安置目标管理责任制，一级抓一级，层层抓落实。要充分运用行政、经济、法律等手段，加大监督检查力度，协调督促有关部门和单位落实好安置任务。要把退役士兵安置作为双拥工作的重要组成部门，完不成安置任务的地区和单位，不能评为“双拥”模范县（区）。对拒不接收安置任务或不按规定落实安置任务有偿转移的单位，要依据国家有关规定，追究领导者的责任或予以处罚。对完成安置任务有突出贡献的单位和个人要予以表彰。各级安置部门要严格执行退伍安置工作的法律法规及有关政策，切实加强思想作风建设，牢固树立全心全意为退役士兵服务思想，守法自律，坚决杜绝违纪违法问题的发生，确保退役士兵安置工作的顺利完成。</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附件：阜新市2001年冬季退役士兵安置任务表</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default" w:ascii="仿宋_GB2312" w:hAnsi="仿宋_GB2312" w:eastAsia="仿宋_GB2312" w:cs="仿宋_GB2312"/>
          <w:i w:val="0"/>
          <w:iCs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阜新市人民政府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w:t>
      </w:r>
      <w:r>
        <w:rPr>
          <w:rFonts w:hint="eastAsia" w:ascii="仿宋_GB2312" w:hAnsi="仿宋_GB2312" w:eastAsia="仿宋_GB2312" w:cs="仿宋_GB2312"/>
          <w:i w:val="0"/>
          <w:caps w:val="0"/>
          <w:color w:val="333333"/>
          <w:spacing w:val="0"/>
          <w:sz w:val="32"/>
          <w:szCs w:val="32"/>
          <w:shd w:val="clear" w:fill="FFFFFF"/>
          <w:lang w:val="en-US" w:eastAsia="zh-CN"/>
        </w:rPr>
        <w:t>二</w:t>
      </w:r>
      <w:r>
        <w:rPr>
          <w:rFonts w:hint="default" w:ascii="仿宋_GB2312" w:hAnsi="仿宋_GB2312" w:eastAsia="仿宋_GB2312" w:cs="仿宋_GB2312"/>
          <w:i w:val="0"/>
          <w:caps w:val="0"/>
          <w:color w:val="333333"/>
          <w:spacing w:val="0"/>
          <w:sz w:val="32"/>
          <w:szCs w:val="32"/>
          <w:shd w:val="clear" w:fill="FFFFFF"/>
          <w:lang w:val="en-US" w:eastAsia="zh-CN"/>
        </w:rPr>
        <w:t>年</w:t>
      </w:r>
      <w:r>
        <w:rPr>
          <w:rFonts w:hint="eastAsia" w:ascii="仿宋_GB2312" w:hAnsi="仿宋_GB2312" w:eastAsia="仿宋_GB2312" w:cs="仿宋_GB2312"/>
          <w:i w:val="0"/>
          <w:caps w:val="0"/>
          <w:color w:val="333333"/>
          <w:spacing w:val="0"/>
          <w:sz w:val="32"/>
          <w:szCs w:val="32"/>
          <w:shd w:val="clear" w:fill="FFFFFF"/>
          <w:lang w:val="en-US" w:eastAsia="zh-CN"/>
        </w:rPr>
        <w:t>六</w:t>
      </w:r>
      <w:r>
        <w:rPr>
          <w:rFonts w:hint="default" w:ascii="仿宋_GB2312" w:hAnsi="仿宋_GB2312" w:eastAsia="仿宋_GB2312" w:cs="仿宋_GB2312"/>
          <w:i w:val="0"/>
          <w:caps w:val="0"/>
          <w:color w:val="333333"/>
          <w:spacing w:val="0"/>
          <w:sz w:val="32"/>
          <w:szCs w:val="32"/>
          <w:shd w:val="clear" w:fill="FFFFFF"/>
          <w:lang w:val="en-US" w:eastAsia="zh-CN"/>
        </w:rPr>
        <w:t>月</w:t>
      </w:r>
      <w:r>
        <w:rPr>
          <w:rFonts w:hint="eastAsia" w:ascii="仿宋_GB2312" w:hAnsi="仿宋_GB2312" w:eastAsia="仿宋_GB2312" w:cs="仿宋_GB2312"/>
          <w:i w:val="0"/>
          <w:caps w:val="0"/>
          <w:color w:val="333333"/>
          <w:spacing w:val="0"/>
          <w:sz w:val="32"/>
          <w:szCs w:val="32"/>
          <w:shd w:val="clear" w:fill="FFFFFF"/>
          <w:lang w:val="en-US" w:eastAsia="zh-CN"/>
        </w:rPr>
        <w:t>二十八</w:t>
      </w:r>
      <w:r>
        <w:rPr>
          <w:rFonts w:hint="default" w:ascii="仿宋_GB2312" w:hAnsi="仿宋_GB2312" w:eastAsia="仿宋_GB2312" w:cs="仿宋_GB2312"/>
          <w:i w:val="0"/>
          <w:caps w:val="0"/>
          <w:color w:val="333333"/>
          <w:spacing w:val="0"/>
          <w:sz w:val="32"/>
          <w:szCs w:val="32"/>
          <w:shd w:val="clear" w:fill="FFFFFF"/>
          <w:lang w:val="en-US" w:eastAsia="zh-CN"/>
        </w:rPr>
        <w:t>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（此件公开发布）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黑体" w:hAnsi="黑体" w:eastAsia="黑体" w:cs="黑体"/>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阜新市2001年冬季退役士兵安置任务表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黑体" w:hAnsi="黑体" w:eastAsia="黑体" w:cs="黑体"/>
          <w:i w:val="0"/>
          <w:iCs w:val="0"/>
          <w:caps w:val="0"/>
          <w:color w:val="333333"/>
          <w:spacing w:val="0"/>
          <w:sz w:val="32"/>
          <w:szCs w:val="32"/>
          <w:shd w:val="clear" w:fill="FFFFFF"/>
          <w:lang w:val="en-US" w:eastAsia="zh-CN"/>
        </w:rPr>
      </w:pPr>
    </w:p>
    <w:tbl>
      <w:tblPr>
        <w:tblStyle w:val="7"/>
        <w:tblW w:w="0" w:type="auto"/>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7"/>
        <w:gridCol w:w="1425"/>
        <w:gridCol w:w="1238"/>
        <w:gridCol w:w="120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vMerge w:val="restart"/>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单位</w:t>
            </w:r>
          </w:p>
        </w:tc>
        <w:tc>
          <w:tcPr>
            <w:tcW w:w="1425" w:type="dxa"/>
            <w:vMerge w:val="restart"/>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安置</w:t>
            </w:r>
          </w:p>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任务</w:t>
            </w:r>
          </w:p>
        </w:tc>
        <w:tc>
          <w:tcPr>
            <w:tcW w:w="2438" w:type="dxa"/>
            <w:gridSpan w:val="2"/>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其中</w:t>
            </w:r>
          </w:p>
        </w:tc>
        <w:tc>
          <w:tcPr>
            <w:tcW w:w="1300" w:type="dxa"/>
            <w:vMerge w:val="restart"/>
          </w:tcPr>
          <w:p>
            <w:pPr>
              <w:pStyle w:val="5"/>
              <w:keepNext w:val="0"/>
              <w:keepLines w:val="0"/>
              <w:widowControl/>
              <w:suppressLineNumbers w:val="0"/>
              <w:tabs>
                <w:tab w:val="left" w:pos="537"/>
              </w:tabs>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vMerge w:val="continue"/>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c>
          <w:tcPr>
            <w:tcW w:w="1425" w:type="dxa"/>
            <w:vMerge w:val="continue"/>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子女</w:t>
            </w: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统筹</w:t>
            </w:r>
          </w:p>
        </w:tc>
        <w:tc>
          <w:tcPr>
            <w:tcW w:w="1300" w:type="dxa"/>
            <w:vMerge w:val="continue"/>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center"/>
              <w:rPr>
                <w:rFonts w:hint="eastAsia" w:ascii="黑体" w:hAnsi="黑体" w:eastAsia="黑体" w:cs="黑体"/>
                <w:i w:val="0"/>
                <w:iCs w:val="0"/>
                <w:caps w:val="0"/>
                <w:color w:val="333333"/>
                <w:spacing w:val="0"/>
                <w:sz w:val="32"/>
                <w:szCs w:val="32"/>
                <w:shd w:val="clear" w:fill="FFFFFF"/>
                <w:vertAlign w:val="baseline"/>
                <w:lang w:val="en-US" w:eastAsia="zh-CN"/>
              </w:rPr>
            </w:pPr>
            <w:r>
              <w:rPr>
                <w:rFonts w:hint="eastAsia" w:ascii="黑体" w:hAnsi="黑体" w:eastAsia="黑体" w:cs="黑体"/>
                <w:i w:val="0"/>
                <w:iCs w:val="0"/>
                <w:caps w:val="0"/>
                <w:color w:val="333333"/>
                <w:spacing w:val="0"/>
                <w:sz w:val="32"/>
                <w:szCs w:val="32"/>
                <w:shd w:val="clear" w:fill="FFFFFF"/>
                <w:vertAlign w:val="baseline"/>
                <w:lang w:val="en-US" w:eastAsia="zh-CN"/>
              </w:rPr>
              <w:t>合计</w:t>
            </w:r>
          </w:p>
        </w:tc>
        <w:tc>
          <w:tcPr>
            <w:tcW w:w="1425" w:type="dxa"/>
          </w:tcPr>
          <w:p>
            <w:pPr>
              <w:pStyle w:val="5"/>
              <w:keepNext w:val="0"/>
              <w:keepLines w:val="0"/>
              <w:widowControl/>
              <w:suppressLineNumbers w:val="0"/>
              <w:spacing w:before="0" w:beforeAutospacing="0" w:after="0" w:afterAutospacing="0"/>
              <w:ind w:right="0"/>
              <w:jc w:val="center"/>
              <w:rPr>
                <w:rFonts w:hint="default" w:ascii="黑体" w:hAnsi="黑体" w:eastAsia="黑体" w:cs="黑体"/>
                <w:i w:val="0"/>
                <w:iCs w:val="0"/>
                <w:caps w:val="0"/>
                <w:color w:val="333333"/>
                <w:spacing w:val="0"/>
                <w:sz w:val="32"/>
                <w:szCs w:val="32"/>
                <w:shd w:val="clear" w:fill="FFFFFF"/>
                <w:vertAlign w:val="baseline"/>
                <w:lang w:val="en-US" w:eastAsia="zh-CN"/>
              </w:rPr>
            </w:pPr>
            <w:r>
              <w:rPr>
                <w:rFonts w:hint="eastAsia" w:ascii="黑体" w:hAnsi="黑体" w:eastAsia="黑体" w:cs="黑体"/>
                <w:i w:val="0"/>
                <w:iCs w:val="0"/>
                <w:caps w:val="0"/>
                <w:color w:val="333333"/>
                <w:spacing w:val="0"/>
                <w:sz w:val="32"/>
                <w:szCs w:val="32"/>
                <w:shd w:val="clear" w:fill="FFFFFF"/>
                <w:vertAlign w:val="baseline"/>
                <w:lang w:val="en-US" w:eastAsia="zh-CN"/>
              </w:rPr>
              <w:t>707</w:t>
            </w:r>
          </w:p>
        </w:tc>
        <w:tc>
          <w:tcPr>
            <w:tcW w:w="1238" w:type="dxa"/>
          </w:tcPr>
          <w:p>
            <w:pPr>
              <w:pStyle w:val="5"/>
              <w:keepNext w:val="0"/>
              <w:keepLines w:val="0"/>
              <w:widowControl/>
              <w:suppressLineNumbers w:val="0"/>
              <w:spacing w:before="0" w:beforeAutospacing="0" w:after="0" w:afterAutospacing="0"/>
              <w:ind w:right="0"/>
              <w:jc w:val="center"/>
              <w:rPr>
                <w:rFonts w:hint="default" w:ascii="黑体" w:hAnsi="黑体" w:eastAsia="黑体" w:cs="黑体"/>
                <w:i w:val="0"/>
                <w:iCs w:val="0"/>
                <w:caps w:val="0"/>
                <w:color w:val="333333"/>
                <w:spacing w:val="0"/>
                <w:sz w:val="32"/>
                <w:szCs w:val="32"/>
                <w:shd w:val="clear" w:fill="FFFFFF"/>
                <w:vertAlign w:val="baseline"/>
                <w:lang w:val="en-US" w:eastAsia="zh-CN"/>
              </w:rPr>
            </w:pPr>
            <w:r>
              <w:rPr>
                <w:rFonts w:hint="eastAsia" w:ascii="黑体" w:hAnsi="黑体" w:eastAsia="黑体" w:cs="黑体"/>
                <w:i w:val="0"/>
                <w:iCs w:val="0"/>
                <w:caps w:val="0"/>
                <w:color w:val="333333"/>
                <w:spacing w:val="0"/>
                <w:sz w:val="32"/>
                <w:szCs w:val="32"/>
                <w:shd w:val="clear" w:fill="FFFFFF"/>
                <w:vertAlign w:val="baseline"/>
                <w:lang w:val="en-US" w:eastAsia="zh-CN"/>
              </w:rPr>
              <w:t>477</w:t>
            </w:r>
          </w:p>
        </w:tc>
        <w:tc>
          <w:tcPr>
            <w:tcW w:w="1200" w:type="dxa"/>
          </w:tcPr>
          <w:p>
            <w:pPr>
              <w:pStyle w:val="5"/>
              <w:keepNext w:val="0"/>
              <w:keepLines w:val="0"/>
              <w:widowControl/>
              <w:suppressLineNumbers w:val="0"/>
              <w:spacing w:before="0" w:beforeAutospacing="0" w:after="0" w:afterAutospacing="0"/>
              <w:ind w:right="0"/>
              <w:jc w:val="center"/>
              <w:rPr>
                <w:rFonts w:hint="default" w:ascii="黑体" w:hAnsi="黑体" w:eastAsia="黑体" w:cs="黑体"/>
                <w:i w:val="0"/>
                <w:iCs w:val="0"/>
                <w:caps w:val="0"/>
                <w:color w:val="333333"/>
                <w:spacing w:val="0"/>
                <w:sz w:val="32"/>
                <w:szCs w:val="32"/>
                <w:shd w:val="clear" w:fill="FFFFFF"/>
                <w:vertAlign w:val="baseline"/>
                <w:lang w:val="en-US" w:eastAsia="zh-CN"/>
              </w:rPr>
            </w:pPr>
            <w:r>
              <w:rPr>
                <w:rFonts w:hint="eastAsia" w:ascii="黑体" w:hAnsi="黑体" w:eastAsia="黑体" w:cs="黑体"/>
                <w:i w:val="0"/>
                <w:iCs w:val="0"/>
                <w:caps w:val="0"/>
                <w:color w:val="333333"/>
                <w:spacing w:val="0"/>
                <w:sz w:val="32"/>
                <w:szCs w:val="32"/>
                <w:shd w:val="clear" w:fill="FFFFFF"/>
                <w:vertAlign w:val="baseline"/>
                <w:lang w:val="en-US" w:eastAsia="zh-CN"/>
              </w:rPr>
              <w:t>230</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eastAsia" w:ascii="黑体" w:hAnsi="黑体" w:eastAsia="黑体" w:cs="黑体"/>
                <w:i w:val="0"/>
                <w:iCs w:val="0"/>
                <w:caps w:val="0"/>
                <w:color w:val="333333"/>
                <w:spacing w:val="0"/>
                <w:sz w:val="32"/>
                <w:szCs w:val="32"/>
                <w:shd w:val="clear" w:fill="FFFFFF"/>
                <w:vertAlign w:val="baseline"/>
                <w:lang w:val="en-US" w:eastAsia="zh-CN"/>
              </w:rPr>
            </w:pPr>
            <w:r>
              <w:rPr>
                <w:rFonts w:hint="eastAsia" w:ascii="黑体" w:hAnsi="黑体" w:eastAsia="黑体" w:cs="黑体"/>
                <w:i w:val="0"/>
                <w:iCs w:val="0"/>
                <w:caps w:val="0"/>
                <w:color w:val="333333"/>
                <w:spacing w:val="0"/>
                <w:sz w:val="32"/>
                <w:szCs w:val="32"/>
                <w:shd w:val="clear" w:fill="FFFFFF"/>
                <w:vertAlign w:val="baseline"/>
                <w:lang w:val="en-US" w:eastAsia="zh-CN"/>
              </w:rPr>
              <w:t>一、中省直单位</w:t>
            </w:r>
          </w:p>
        </w:tc>
        <w:tc>
          <w:tcPr>
            <w:tcW w:w="1425" w:type="dxa"/>
          </w:tcPr>
          <w:p>
            <w:pPr>
              <w:pStyle w:val="5"/>
              <w:keepNext w:val="0"/>
              <w:keepLines w:val="0"/>
              <w:widowControl/>
              <w:suppressLineNumbers w:val="0"/>
              <w:spacing w:before="0" w:beforeAutospacing="0" w:after="0" w:afterAutospacing="0"/>
              <w:ind w:right="0"/>
              <w:jc w:val="center"/>
              <w:rPr>
                <w:rFonts w:hint="default" w:ascii="黑体" w:hAnsi="黑体" w:eastAsia="黑体" w:cs="黑体"/>
                <w:i w:val="0"/>
                <w:iCs w:val="0"/>
                <w:caps w:val="0"/>
                <w:color w:val="333333"/>
                <w:spacing w:val="0"/>
                <w:sz w:val="32"/>
                <w:szCs w:val="32"/>
                <w:shd w:val="clear" w:fill="FFFFFF"/>
                <w:vertAlign w:val="baseline"/>
                <w:lang w:val="en-US" w:eastAsia="zh-CN"/>
              </w:rPr>
            </w:pPr>
            <w:r>
              <w:rPr>
                <w:rFonts w:hint="eastAsia" w:ascii="黑体" w:hAnsi="黑体" w:eastAsia="黑体" w:cs="黑体"/>
                <w:i w:val="0"/>
                <w:iCs w:val="0"/>
                <w:caps w:val="0"/>
                <w:color w:val="333333"/>
                <w:spacing w:val="0"/>
                <w:sz w:val="32"/>
                <w:szCs w:val="32"/>
                <w:shd w:val="clear" w:fill="FFFFFF"/>
                <w:vertAlign w:val="baseline"/>
                <w:lang w:val="en-US" w:eastAsia="zh-CN"/>
              </w:rPr>
              <w:t>247</w:t>
            </w:r>
          </w:p>
        </w:tc>
        <w:tc>
          <w:tcPr>
            <w:tcW w:w="1238" w:type="dxa"/>
          </w:tcPr>
          <w:p>
            <w:pPr>
              <w:pStyle w:val="5"/>
              <w:keepNext w:val="0"/>
              <w:keepLines w:val="0"/>
              <w:widowControl/>
              <w:suppressLineNumbers w:val="0"/>
              <w:spacing w:before="0" w:beforeAutospacing="0" w:after="0" w:afterAutospacing="0"/>
              <w:ind w:right="0"/>
              <w:jc w:val="center"/>
              <w:rPr>
                <w:rFonts w:hint="default" w:ascii="黑体" w:hAnsi="黑体" w:eastAsia="黑体" w:cs="黑体"/>
                <w:i w:val="0"/>
                <w:iCs w:val="0"/>
                <w:caps w:val="0"/>
                <w:color w:val="333333"/>
                <w:spacing w:val="0"/>
                <w:sz w:val="32"/>
                <w:szCs w:val="32"/>
                <w:shd w:val="clear" w:fill="FFFFFF"/>
                <w:vertAlign w:val="baseline"/>
                <w:lang w:val="en-US" w:eastAsia="zh-CN"/>
              </w:rPr>
            </w:pPr>
            <w:r>
              <w:rPr>
                <w:rFonts w:hint="eastAsia" w:ascii="黑体" w:hAnsi="黑体" w:eastAsia="黑体" w:cs="黑体"/>
                <w:i w:val="0"/>
                <w:iCs w:val="0"/>
                <w:caps w:val="0"/>
                <w:color w:val="333333"/>
                <w:spacing w:val="0"/>
                <w:sz w:val="32"/>
                <w:szCs w:val="32"/>
                <w:shd w:val="clear" w:fill="FFFFFF"/>
                <w:vertAlign w:val="baseline"/>
                <w:lang w:val="en-US" w:eastAsia="zh-CN"/>
              </w:rPr>
              <w:t>239</w:t>
            </w:r>
          </w:p>
        </w:tc>
        <w:tc>
          <w:tcPr>
            <w:tcW w:w="1200" w:type="dxa"/>
          </w:tcPr>
          <w:p>
            <w:pPr>
              <w:pStyle w:val="5"/>
              <w:keepNext w:val="0"/>
              <w:keepLines w:val="0"/>
              <w:widowControl/>
              <w:suppressLineNumbers w:val="0"/>
              <w:spacing w:before="0" w:beforeAutospacing="0" w:after="0" w:afterAutospacing="0"/>
              <w:ind w:right="0"/>
              <w:jc w:val="center"/>
              <w:rPr>
                <w:rFonts w:hint="default" w:ascii="黑体" w:hAnsi="黑体" w:eastAsia="黑体" w:cs="黑体"/>
                <w:i w:val="0"/>
                <w:iCs w:val="0"/>
                <w:caps w:val="0"/>
                <w:color w:val="333333"/>
                <w:spacing w:val="0"/>
                <w:sz w:val="32"/>
                <w:szCs w:val="32"/>
                <w:shd w:val="clear" w:fill="FFFFFF"/>
                <w:vertAlign w:val="baseline"/>
                <w:lang w:val="en-US" w:eastAsia="zh-CN"/>
              </w:rPr>
            </w:pPr>
            <w:r>
              <w:rPr>
                <w:rFonts w:hint="eastAsia" w:ascii="黑体" w:hAnsi="黑体" w:eastAsia="黑体" w:cs="黑体"/>
                <w:i w:val="0"/>
                <w:iCs w:val="0"/>
                <w:caps w:val="0"/>
                <w:color w:val="333333"/>
                <w:spacing w:val="0"/>
                <w:sz w:val="32"/>
                <w:szCs w:val="32"/>
                <w:shd w:val="clear" w:fill="FFFFFF"/>
                <w:vertAlign w:val="baseline"/>
                <w:lang w:val="en-US" w:eastAsia="zh-CN"/>
              </w:rPr>
              <w:t>8</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tabs>
                <w:tab w:val="left" w:pos="622"/>
              </w:tabs>
              <w:spacing w:before="0" w:beforeAutospacing="0" w:after="0" w:afterAutospacing="0"/>
              <w:ind w:right="0"/>
              <w:jc w:val="both"/>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阜新矿务局</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80</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80</w:t>
            </w:r>
          </w:p>
        </w:tc>
        <w:tc>
          <w:tcPr>
            <w:tcW w:w="12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阜新铁路办事处</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148</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148</w:t>
            </w:r>
          </w:p>
        </w:tc>
        <w:tc>
          <w:tcPr>
            <w:tcW w:w="12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阜新市石油公司</w:t>
            </w:r>
          </w:p>
        </w:tc>
        <w:tc>
          <w:tcPr>
            <w:tcW w:w="1425" w:type="dxa"/>
          </w:tcPr>
          <w:p>
            <w:pPr>
              <w:pStyle w:val="5"/>
              <w:keepNext w:val="0"/>
              <w:keepLines w:val="0"/>
              <w:widowControl/>
              <w:suppressLineNumbers w:val="0"/>
              <w:tabs>
                <w:tab w:val="left" w:pos="492"/>
              </w:tabs>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3</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2</w:t>
            </w: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阜新液压件厂</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4</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3</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辽宁工程技术大学</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3</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3</w:t>
            </w: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东煤第</w:t>
            </w:r>
            <w:r>
              <w:rPr>
                <w:rFonts w:hint="eastAsia" w:ascii="仿宋_GB2312" w:hAnsi="仿宋_GB2312" w:eastAsia="仿宋_GB2312" w:cs="仿宋_GB2312"/>
                <w:i w:val="0"/>
                <w:caps w:val="0"/>
                <w:color w:val="333333"/>
                <w:spacing w:val="0"/>
                <w:sz w:val="32"/>
                <w:szCs w:val="32"/>
                <w:shd w:val="clear" w:fill="FFFFFF"/>
                <w:lang w:val="en-US" w:eastAsia="zh-CN"/>
              </w:rPr>
              <w:t>七勘探公司</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4</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4</w:t>
            </w: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第四地质大队</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阜新市国家税务局</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4</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3</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黑体" w:hAnsi="黑体" w:eastAsia="黑体" w:cs="黑体"/>
                <w:i w:val="0"/>
                <w:iCs w:val="0"/>
                <w:caps w:val="0"/>
                <w:color w:val="333333"/>
                <w:spacing w:val="0"/>
                <w:sz w:val="32"/>
                <w:szCs w:val="32"/>
                <w:shd w:val="clear" w:fill="FFFFFF"/>
                <w:vertAlign w:val="baseline"/>
                <w:lang w:val="en-US" w:eastAsia="zh-CN"/>
              </w:rPr>
              <w:t>二、市直单位</w:t>
            </w:r>
          </w:p>
        </w:tc>
        <w:tc>
          <w:tcPr>
            <w:tcW w:w="1425" w:type="dxa"/>
          </w:tcPr>
          <w:p>
            <w:pPr>
              <w:pStyle w:val="5"/>
              <w:keepNext w:val="0"/>
              <w:keepLines w:val="0"/>
              <w:widowControl/>
              <w:suppressLineNumbers w:val="0"/>
              <w:spacing w:before="0" w:beforeAutospacing="0" w:after="0" w:afterAutospacing="0"/>
              <w:ind w:right="0"/>
              <w:jc w:val="center"/>
              <w:rPr>
                <w:rFonts w:hint="default" w:ascii="黑体" w:hAnsi="黑体" w:eastAsia="黑体" w:cs="黑体"/>
                <w:i w:val="0"/>
                <w:iCs w:val="0"/>
                <w:caps w:val="0"/>
                <w:color w:val="333333"/>
                <w:spacing w:val="0"/>
                <w:sz w:val="32"/>
                <w:szCs w:val="32"/>
                <w:shd w:val="clear" w:fill="FFFFFF"/>
                <w:vertAlign w:val="baseline"/>
                <w:lang w:val="en-US" w:eastAsia="zh-CN"/>
              </w:rPr>
            </w:pPr>
            <w:r>
              <w:rPr>
                <w:rFonts w:hint="eastAsia" w:ascii="黑体" w:hAnsi="黑体" w:eastAsia="黑体" w:cs="黑体"/>
                <w:i w:val="0"/>
                <w:iCs w:val="0"/>
                <w:caps w:val="0"/>
                <w:color w:val="333333"/>
                <w:spacing w:val="0"/>
                <w:sz w:val="32"/>
                <w:szCs w:val="32"/>
                <w:shd w:val="clear" w:fill="FFFFFF"/>
                <w:vertAlign w:val="baseline"/>
                <w:lang w:val="en-US" w:eastAsia="zh-CN"/>
              </w:rPr>
              <w:t>193</w:t>
            </w:r>
          </w:p>
        </w:tc>
        <w:tc>
          <w:tcPr>
            <w:tcW w:w="1238" w:type="dxa"/>
          </w:tcPr>
          <w:p>
            <w:pPr>
              <w:pStyle w:val="5"/>
              <w:keepNext w:val="0"/>
              <w:keepLines w:val="0"/>
              <w:widowControl/>
              <w:suppressLineNumbers w:val="0"/>
              <w:spacing w:before="0" w:beforeAutospacing="0" w:after="0" w:afterAutospacing="0"/>
              <w:ind w:right="0"/>
              <w:jc w:val="center"/>
              <w:rPr>
                <w:rFonts w:hint="default" w:ascii="黑体" w:hAnsi="黑体" w:eastAsia="黑体" w:cs="黑体"/>
                <w:i w:val="0"/>
                <w:iCs w:val="0"/>
                <w:caps w:val="0"/>
                <w:color w:val="333333"/>
                <w:spacing w:val="0"/>
                <w:sz w:val="32"/>
                <w:szCs w:val="32"/>
                <w:shd w:val="clear" w:fill="FFFFFF"/>
                <w:vertAlign w:val="baseline"/>
                <w:lang w:val="en-US" w:eastAsia="zh-CN"/>
              </w:rPr>
            </w:pPr>
            <w:r>
              <w:rPr>
                <w:rFonts w:hint="eastAsia" w:ascii="黑体" w:hAnsi="黑体" w:eastAsia="黑体" w:cs="黑体"/>
                <w:i w:val="0"/>
                <w:iCs w:val="0"/>
                <w:caps w:val="0"/>
                <w:color w:val="333333"/>
                <w:spacing w:val="0"/>
                <w:sz w:val="32"/>
                <w:szCs w:val="32"/>
                <w:shd w:val="clear" w:fill="FFFFFF"/>
                <w:vertAlign w:val="baseline"/>
                <w:lang w:val="en-US" w:eastAsia="zh-CN"/>
              </w:rPr>
              <w:t>71</w:t>
            </w:r>
          </w:p>
        </w:tc>
        <w:tc>
          <w:tcPr>
            <w:tcW w:w="1200" w:type="dxa"/>
          </w:tcPr>
          <w:p>
            <w:pPr>
              <w:pStyle w:val="5"/>
              <w:keepNext w:val="0"/>
              <w:keepLines w:val="0"/>
              <w:widowControl/>
              <w:suppressLineNumbers w:val="0"/>
              <w:spacing w:before="0" w:beforeAutospacing="0" w:after="0" w:afterAutospacing="0"/>
              <w:ind w:right="0"/>
              <w:jc w:val="center"/>
              <w:rPr>
                <w:rFonts w:hint="default" w:ascii="黑体" w:hAnsi="黑体" w:eastAsia="黑体" w:cs="黑体"/>
                <w:i w:val="0"/>
                <w:iCs w:val="0"/>
                <w:caps w:val="0"/>
                <w:color w:val="333333"/>
                <w:spacing w:val="0"/>
                <w:sz w:val="32"/>
                <w:szCs w:val="32"/>
                <w:shd w:val="clear" w:fill="FFFFFF"/>
                <w:vertAlign w:val="baseline"/>
                <w:lang w:val="en-US" w:eastAsia="zh-CN"/>
              </w:rPr>
            </w:pPr>
            <w:r>
              <w:rPr>
                <w:rFonts w:hint="eastAsia" w:ascii="黑体" w:hAnsi="黑体" w:eastAsia="黑体" w:cs="黑体"/>
                <w:i w:val="0"/>
                <w:iCs w:val="0"/>
                <w:caps w:val="0"/>
                <w:color w:val="333333"/>
                <w:spacing w:val="0"/>
                <w:sz w:val="32"/>
                <w:szCs w:val="32"/>
                <w:shd w:val="clear" w:fill="FFFFFF"/>
                <w:vertAlign w:val="baseline"/>
                <w:lang w:val="en-US" w:eastAsia="zh-CN"/>
              </w:rPr>
              <w:t>122</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市委办公室</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市人大办公室</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市政府办公室</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2</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2</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市政协办公室</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市总工会</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市法院</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238"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市检察院</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238"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市人事局</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238"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市劳动局</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市财政局</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市公安局</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6</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6</w:t>
            </w: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市审计局</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3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市环保局</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238"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市林业局</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2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市物价局</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238"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市水利局</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2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市民防办</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238"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阜新日报社</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2</w:t>
            </w:r>
          </w:p>
        </w:tc>
        <w:tc>
          <w:tcPr>
            <w:tcW w:w="1238"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2</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市外经贸局</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238"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市计委</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2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市教育局</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2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市民政局</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2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市司法局</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3</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2</w:t>
            </w: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市广播电视局</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238"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市文化局</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238"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市国土资源局</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238"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市建委</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15</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5</w:t>
            </w: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10</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市机械冶金行业办</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8</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4</w:t>
            </w: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4</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市商业局</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12</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4</w:t>
            </w: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8</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市化工医药行业办</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18</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6</w:t>
            </w: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12</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市纺织行业办</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8</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2</w:t>
            </w: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6</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市轻工行业办</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8</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2</w:t>
            </w: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6</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市信息产业局</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8</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7</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市交通局</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10</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9</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市建材行业办</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8</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7</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市粮食局</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6</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2</w:t>
            </w: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4</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市物资总公司</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4</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2</w:t>
            </w: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2</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市公用事业与房产局</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36</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19</w:t>
            </w: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17</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市卫生局</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4</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4</w:t>
            </w: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阜新热电厂</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5</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2</w:t>
            </w: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3</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市商业银行</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3</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3</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市供销社</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3</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2</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市经济开发区</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2</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2</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eastAsia" w:ascii="黑体" w:hAnsi="黑体" w:eastAsia="黑体" w:cs="黑体"/>
                <w:i w:val="0"/>
                <w:iCs w:val="0"/>
                <w:caps w:val="0"/>
                <w:color w:val="333333"/>
                <w:spacing w:val="0"/>
                <w:sz w:val="32"/>
                <w:szCs w:val="32"/>
                <w:shd w:val="clear" w:fill="FFFFFF"/>
                <w:vertAlign w:val="baseline"/>
                <w:lang w:val="en-US" w:eastAsia="zh-CN"/>
              </w:rPr>
            </w:pPr>
            <w:r>
              <w:rPr>
                <w:rFonts w:hint="eastAsia" w:ascii="黑体" w:hAnsi="黑体" w:eastAsia="黑体" w:cs="黑体"/>
                <w:i w:val="0"/>
                <w:iCs w:val="0"/>
                <w:caps w:val="0"/>
                <w:color w:val="333333"/>
                <w:spacing w:val="0"/>
                <w:sz w:val="32"/>
                <w:szCs w:val="32"/>
                <w:shd w:val="clear" w:fill="FFFFFF"/>
                <w:vertAlign w:val="baseline"/>
                <w:lang w:val="en-US" w:eastAsia="zh-CN"/>
              </w:rPr>
              <w:t>三、县区单位</w:t>
            </w:r>
          </w:p>
        </w:tc>
        <w:tc>
          <w:tcPr>
            <w:tcW w:w="1425" w:type="dxa"/>
          </w:tcPr>
          <w:p>
            <w:pPr>
              <w:pStyle w:val="5"/>
              <w:keepNext w:val="0"/>
              <w:keepLines w:val="0"/>
              <w:widowControl/>
              <w:suppressLineNumbers w:val="0"/>
              <w:spacing w:before="0" w:beforeAutospacing="0" w:after="0" w:afterAutospacing="0"/>
              <w:ind w:right="0"/>
              <w:jc w:val="center"/>
              <w:rPr>
                <w:rFonts w:hint="default" w:ascii="黑体" w:hAnsi="黑体" w:eastAsia="黑体" w:cs="黑体"/>
                <w:i w:val="0"/>
                <w:iCs w:val="0"/>
                <w:caps w:val="0"/>
                <w:color w:val="333333"/>
                <w:spacing w:val="0"/>
                <w:sz w:val="32"/>
                <w:szCs w:val="32"/>
                <w:shd w:val="clear" w:fill="FFFFFF"/>
                <w:vertAlign w:val="baseline"/>
                <w:lang w:val="en-US" w:eastAsia="zh-CN"/>
              </w:rPr>
            </w:pPr>
            <w:r>
              <w:rPr>
                <w:rFonts w:hint="eastAsia" w:ascii="黑体" w:hAnsi="黑体" w:eastAsia="黑体" w:cs="黑体"/>
                <w:i w:val="0"/>
                <w:iCs w:val="0"/>
                <w:caps w:val="0"/>
                <w:color w:val="333333"/>
                <w:spacing w:val="0"/>
                <w:sz w:val="32"/>
                <w:szCs w:val="32"/>
                <w:shd w:val="clear" w:fill="FFFFFF"/>
                <w:vertAlign w:val="baseline"/>
                <w:lang w:val="en-US" w:eastAsia="zh-CN"/>
              </w:rPr>
              <w:t>267</w:t>
            </w:r>
          </w:p>
        </w:tc>
        <w:tc>
          <w:tcPr>
            <w:tcW w:w="1238" w:type="dxa"/>
          </w:tcPr>
          <w:p>
            <w:pPr>
              <w:pStyle w:val="5"/>
              <w:keepNext w:val="0"/>
              <w:keepLines w:val="0"/>
              <w:widowControl/>
              <w:suppressLineNumbers w:val="0"/>
              <w:spacing w:before="0" w:beforeAutospacing="0" w:after="0" w:afterAutospacing="0"/>
              <w:ind w:right="0"/>
              <w:jc w:val="center"/>
              <w:rPr>
                <w:rFonts w:hint="default" w:ascii="黑体" w:hAnsi="黑体" w:eastAsia="黑体" w:cs="黑体"/>
                <w:i w:val="0"/>
                <w:iCs w:val="0"/>
                <w:caps w:val="0"/>
                <w:color w:val="333333"/>
                <w:spacing w:val="0"/>
                <w:sz w:val="32"/>
                <w:szCs w:val="32"/>
                <w:shd w:val="clear" w:fill="FFFFFF"/>
                <w:vertAlign w:val="baseline"/>
                <w:lang w:val="en-US" w:eastAsia="zh-CN"/>
              </w:rPr>
            </w:pPr>
            <w:r>
              <w:rPr>
                <w:rFonts w:hint="eastAsia" w:ascii="黑体" w:hAnsi="黑体" w:eastAsia="黑体" w:cs="黑体"/>
                <w:i w:val="0"/>
                <w:iCs w:val="0"/>
                <w:caps w:val="0"/>
                <w:color w:val="333333"/>
                <w:spacing w:val="0"/>
                <w:sz w:val="32"/>
                <w:szCs w:val="32"/>
                <w:shd w:val="clear" w:fill="FFFFFF"/>
                <w:vertAlign w:val="baseline"/>
                <w:lang w:val="en-US" w:eastAsia="zh-CN"/>
              </w:rPr>
              <w:t>167</w:t>
            </w: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黑体" w:hAnsi="黑体" w:eastAsia="黑体" w:cs="黑体"/>
                <w:i w:val="0"/>
                <w:iCs w:val="0"/>
                <w:caps w:val="0"/>
                <w:color w:val="333333"/>
                <w:spacing w:val="0"/>
                <w:sz w:val="32"/>
                <w:szCs w:val="32"/>
                <w:shd w:val="clear" w:fill="FFFFFF"/>
                <w:vertAlign w:val="baseline"/>
                <w:lang w:val="en-US" w:eastAsia="zh-CN"/>
              </w:rPr>
              <w:t>100</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numPr>
                <w:ilvl w:val="0"/>
                <w:numId w:val="0"/>
              </w:numPr>
              <w:suppressLineNumbers w:val="0"/>
              <w:spacing w:before="0" w:beforeAutospacing="0" w:after="0" w:afterAutospacing="0"/>
              <w:ind w:leftChars="0" w:right="0" w:rightChars="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海州区</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10</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10</w:t>
            </w: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太平区</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6</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6</w:t>
            </w: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新邱区</w:t>
            </w:r>
          </w:p>
        </w:tc>
        <w:tc>
          <w:tcPr>
            <w:tcW w:w="1425" w:type="dxa"/>
          </w:tcPr>
          <w:p>
            <w:pPr>
              <w:pStyle w:val="5"/>
              <w:keepNext w:val="0"/>
              <w:keepLines w:val="0"/>
              <w:widowControl/>
              <w:suppressLineNumbers w:val="0"/>
              <w:tabs>
                <w:tab w:val="left" w:pos="455"/>
              </w:tabs>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6</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6</w:t>
            </w: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细河区</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5</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5</w:t>
            </w: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清河门区</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5</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5</w:t>
            </w:r>
          </w:p>
        </w:tc>
        <w:tc>
          <w:tcPr>
            <w:tcW w:w="12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阜新县</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130</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75</w:t>
            </w: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55</w:t>
            </w:r>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7" w:type="dxa"/>
          </w:tcPr>
          <w:p>
            <w:pPr>
              <w:pStyle w:val="5"/>
              <w:keepNext w:val="0"/>
              <w:keepLines w:val="0"/>
              <w:widowControl/>
              <w:suppressLineNumbers w:val="0"/>
              <w:spacing w:before="0" w:beforeAutospacing="0" w:after="0" w:afterAutospacing="0"/>
              <w:ind w:right="0"/>
              <w:jc w:val="left"/>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彰武县</w:t>
            </w:r>
          </w:p>
        </w:tc>
        <w:tc>
          <w:tcPr>
            <w:tcW w:w="1425"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105</w:t>
            </w:r>
          </w:p>
        </w:tc>
        <w:tc>
          <w:tcPr>
            <w:tcW w:w="1238"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60</w:t>
            </w:r>
          </w:p>
        </w:tc>
        <w:tc>
          <w:tcPr>
            <w:tcW w:w="1200" w:type="dxa"/>
          </w:tcPr>
          <w:p>
            <w:pPr>
              <w:pStyle w:val="5"/>
              <w:keepNext w:val="0"/>
              <w:keepLines w:val="0"/>
              <w:widowControl/>
              <w:suppressLineNumbers w:val="0"/>
              <w:spacing w:before="0" w:beforeAutospacing="0" w:after="0" w:afterAutospacing="0"/>
              <w:ind w:right="0"/>
              <w:jc w:val="center"/>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45</w:t>
            </w:r>
            <w:bookmarkStart w:id="0" w:name="_GoBack"/>
            <w:bookmarkEnd w:id="0"/>
          </w:p>
        </w:tc>
        <w:tc>
          <w:tcPr>
            <w:tcW w:w="1300" w:type="dxa"/>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仿宋_GB2312" w:eastAsia="仿宋_GB2312" w:cs="仿宋_GB2312"/>
          <w:i w:val="0"/>
          <w:iCs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阜新市人民政府</w:t>
    </w:r>
    <w:r>
      <w:rPr>
        <w:rFonts w:hint="eastAsia" w:ascii="宋体" w:hAnsi="宋体" w:eastAsia="宋体" w:cs="宋体"/>
        <w:b/>
        <w:bCs/>
        <w:color w:val="005192"/>
        <w:sz w:val="32"/>
        <w:szCs w:val="32"/>
        <w:lang w:val="en-US" w:eastAsia="zh-CN"/>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2546E8"/>
    <w:multiLevelType w:val="singleLevel"/>
    <w:tmpl w:val="572546E8"/>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27A6605"/>
    <w:rsid w:val="02EF387D"/>
    <w:rsid w:val="043E6443"/>
    <w:rsid w:val="04B679C3"/>
    <w:rsid w:val="05D44E8C"/>
    <w:rsid w:val="05F624F0"/>
    <w:rsid w:val="07417A70"/>
    <w:rsid w:val="080F63D8"/>
    <w:rsid w:val="09341458"/>
    <w:rsid w:val="09551CB6"/>
    <w:rsid w:val="0ACB2D46"/>
    <w:rsid w:val="0B0912D7"/>
    <w:rsid w:val="0C677E96"/>
    <w:rsid w:val="0DBF6502"/>
    <w:rsid w:val="11322935"/>
    <w:rsid w:val="11781F9C"/>
    <w:rsid w:val="1343609C"/>
    <w:rsid w:val="13BE161E"/>
    <w:rsid w:val="152D2DCA"/>
    <w:rsid w:val="15A728F7"/>
    <w:rsid w:val="17071E31"/>
    <w:rsid w:val="171627AD"/>
    <w:rsid w:val="178F711F"/>
    <w:rsid w:val="179A6D2D"/>
    <w:rsid w:val="1842520D"/>
    <w:rsid w:val="19AF68E9"/>
    <w:rsid w:val="1A111E2F"/>
    <w:rsid w:val="1ADA1118"/>
    <w:rsid w:val="1C24428C"/>
    <w:rsid w:val="1C6137BD"/>
    <w:rsid w:val="1CC67831"/>
    <w:rsid w:val="1D7969DE"/>
    <w:rsid w:val="1DEC284C"/>
    <w:rsid w:val="1E6523AC"/>
    <w:rsid w:val="20397F99"/>
    <w:rsid w:val="22047EC3"/>
    <w:rsid w:val="22440422"/>
    <w:rsid w:val="226D3556"/>
    <w:rsid w:val="22867C1E"/>
    <w:rsid w:val="229F5A3C"/>
    <w:rsid w:val="22C52CA9"/>
    <w:rsid w:val="22EB4548"/>
    <w:rsid w:val="23661BFF"/>
    <w:rsid w:val="249277E7"/>
    <w:rsid w:val="24D75076"/>
    <w:rsid w:val="272F204E"/>
    <w:rsid w:val="28C97A6A"/>
    <w:rsid w:val="29070ABF"/>
    <w:rsid w:val="2A6C7289"/>
    <w:rsid w:val="2BDC209D"/>
    <w:rsid w:val="2C6C06C2"/>
    <w:rsid w:val="2DE1425E"/>
    <w:rsid w:val="2E477B09"/>
    <w:rsid w:val="2EF97A57"/>
    <w:rsid w:val="304D057B"/>
    <w:rsid w:val="30827465"/>
    <w:rsid w:val="30E42341"/>
    <w:rsid w:val="31A15F24"/>
    <w:rsid w:val="32661A77"/>
    <w:rsid w:val="326D4440"/>
    <w:rsid w:val="32E9052B"/>
    <w:rsid w:val="32EC1D99"/>
    <w:rsid w:val="33335C0A"/>
    <w:rsid w:val="34A2168D"/>
    <w:rsid w:val="34DA5A83"/>
    <w:rsid w:val="34DD1F5B"/>
    <w:rsid w:val="36B32C7E"/>
    <w:rsid w:val="36F30ADE"/>
    <w:rsid w:val="395347B5"/>
    <w:rsid w:val="39A232A0"/>
    <w:rsid w:val="39E745AA"/>
    <w:rsid w:val="39E91E76"/>
    <w:rsid w:val="3B5A6BBB"/>
    <w:rsid w:val="3E3606D4"/>
    <w:rsid w:val="3EDA13A6"/>
    <w:rsid w:val="3F0926CC"/>
    <w:rsid w:val="3FA87C99"/>
    <w:rsid w:val="400F12CC"/>
    <w:rsid w:val="410A62FB"/>
    <w:rsid w:val="42F058B7"/>
    <w:rsid w:val="436109F6"/>
    <w:rsid w:val="441A38D4"/>
    <w:rsid w:val="48287CE7"/>
    <w:rsid w:val="48A872FD"/>
    <w:rsid w:val="4B0B36DC"/>
    <w:rsid w:val="4BC77339"/>
    <w:rsid w:val="4C7F0AA6"/>
    <w:rsid w:val="4C9236C5"/>
    <w:rsid w:val="4E195AAB"/>
    <w:rsid w:val="505C172E"/>
    <w:rsid w:val="50AB2D89"/>
    <w:rsid w:val="52304D25"/>
    <w:rsid w:val="52934322"/>
    <w:rsid w:val="52EE2D38"/>
    <w:rsid w:val="52F46F0B"/>
    <w:rsid w:val="53603B2D"/>
    <w:rsid w:val="53D8014D"/>
    <w:rsid w:val="55636004"/>
    <w:rsid w:val="558E36BB"/>
    <w:rsid w:val="55E064E0"/>
    <w:rsid w:val="572C6D10"/>
    <w:rsid w:val="5A5048BA"/>
    <w:rsid w:val="5A530432"/>
    <w:rsid w:val="5D8D112A"/>
    <w:rsid w:val="5DC34279"/>
    <w:rsid w:val="5DC55C03"/>
    <w:rsid w:val="608816D1"/>
    <w:rsid w:val="60D7232F"/>
    <w:rsid w:val="60EF4E7F"/>
    <w:rsid w:val="60FF036A"/>
    <w:rsid w:val="6236216D"/>
    <w:rsid w:val="64B30F81"/>
    <w:rsid w:val="650C400B"/>
    <w:rsid w:val="665233C1"/>
    <w:rsid w:val="66EC1D05"/>
    <w:rsid w:val="67F1149D"/>
    <w:rsid w:val="6A2A4332"/>
    <w:rsid w:val="6AD9688B"/>
    <w:rsid w:val="6D0E3F22"/>
    <w:rsid w:val="6F80052F"/>
    <w:rsid w:val="70763E61"/>
    <w:rsid w:val="723875FC"/>
    <w:rsid w:val="734638FE"/>
    <w:rsid w:val="74B86FD5"/>
    <w:rsid w:val="74DA1FF6"/>
    <w:rsid w:val="75C63DAF"/>
    <w:rsid w:val="7AAC21E0"/>
    <w:rsid w:val="7B167E4E"/>
    <w:rsid w:val="7B9872E6"/>
    <w:rsid w:val="7C4F7FD0"/>
    <w:rsid w:val="7C9011D9"/>
    <w:rsid w:val="7D050D8E"/>
    <w:rsid w:val="7D0B406E"/>
    <w:rsid w:val="7D47215E"/>
    <w:rsid w:val="7DC651C5"/>
    <w:rsid w:val="7F167818"/>
    <w:rsid w:val="7F796AEF"/>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75" w:beforeAutospacing="0" w:after="75" w:afterAutospacing="0"/>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3126</Words>
  <Characters>3218</Characters>
  <Lines>1</Lines>
  <Paragraphs>1</Paragraphs>
  <TotalTime>14</TotalTime>
  <ScaleCrop>false</ScaleCrop>
  <LinksUpToDate>false</LinksUpToDate>
  <CharactersWithSpaces>3221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2022-01-21T03:05:06Z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EFEEE410F2B3471BA5048D6EC8274E33</vt:lpwstr>
  </property>
</Properties>
</file>